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rPr>
        <w:t xml:space="preserve">huf.org</w:t>
      </w:r>
      <w:r>
        <w:t xml:space="preserve">  ·  Higgins Unity Framework  ·  Open Governance Standard</w:t>
      </w:r>
    </w:p>
    <w:p>
      <w:pPr>
        <w:spacing w:after="80"/>
      </w:pPr>
    </w:p>
    <w:p>
      <w:pPr>
        <w:spacing w:after="160"/>
      </w:pPr>
      <w:r>
        <w:t xml:space="preserve">March 17, 2026</w:t>
      </w:r>
    </w:p>
    <w:p>
      <w:pPr>
        <w:spacing w:after="80"/>
      </w:pPr>
    </w:p>
    <w:p>
      <w:pPr>
        <w:spacing w:after="160"/>
      </w:pPr>
      <w:r>
        <w:rPr>
          <w:b/>
          <w:bCs/>
        </w:rPr>
        <w:t xml:space="preserve">Ramsar Convention Secretariat · Regional Initiative MedWet</w:t>
      </w:r>
    </w:p>
    <w:p>
      <w:pPr>
        <w:spacing w:after="160"/>
      </w:pPr>
      <w:r>
        <w:t xml:space="preserve">Gland, Switzerland</w:t>
      </w:r>
    </w:p>
    <w:p>
      <w:pPr>
        <w:spacing w:after="80"/>
      </w:pPr>
    </w:p>
    <w:p>
      <w:pPr>
        <w:spacing w:after="160"/>
      </w:pPr>
      <w:r>
        <w:rPr>
          <w:b/>
          <w:bCs/>
        </w:rPr>
        <w:t xml:space="preserve">Re: </w:t>
      </w:r>
      <w:r>
        <w:t xml:space="preserve">Crna Mlaka is already an orphan. Your framework cannot see it.</w:t>
      </w:r>
    </w:p>
    <w:p>
      <w:pPr>
        <w:spacing w:after="80"/>
      </w:pPr>
    </w:p>
    <w:p>
      <w:pPr>
        <w:spacing w:after="160"/>
      </w:pPr>
      <w:r>
        <w:t xml:space="preserve">Dear colleague,</w:t>
      </w:r>
    </w:p>
    <w:p>
      <w:pPr>
        <w:spacing w:after="80"/>
      </w:pPr>
    </w:p>
    <w:p>
      <w:pPr>
        <w:spacing w:after="160"/>
      </w:pPr>
      <w:r>
        <w:rPr>
          <w:b/>
          <w:bCs/>
        </w:rPr>
        <w:t xml:space="preserve">Crna Mlaka covers 0.91% of Croatia’s 93,590 ha Ramsar portfolio. Its governance leverage is 110. Nobody decided that.</w:t>
      </w:r>
    </w:p>
    <w:p>
      <w:pPr>
        <w:spacing w:after="80"/>
      </w:pPr>
    </w:p>
    <w:p>
      <w:pPr>
        <w:spacing w:after="160"/>
      </w:pPr>
      <w:r>
        <w:t xml:space="preserve">Leverage 110 means this: if Crna Mlaka’s share of portfolio attention drops by even one percentage point — one meeting less, one monitoring visit deferred, one funding cycle where Kopački Rit’s 40,000 ha fill the room — the structural damage is 110 times what that same shift would cause in a large site. The site has one of the highest fish endemism concentrations in the Neretva system. It is irreplaceable. And it is small enough that no single decision was ever required to begin losing it.</w:t>
      </w:r>
    </w:p>
    <w:p>
      <w:pPr>
        <w:spacing w:after="80"/>
      </w:pPr>
    </w:p>
    <w:p>
      <w:pPr>
        <w:spacing w:after="160"/>
      </w:pPr>
      <w:r>
        <w:t xml:space="preserve">That is the problem your current tools cannot see. METT, RAPPAM, and the SAT assess management quality at a site. None of them watch whether the distribution of institutional attention across the portfolio as a whole is drifting — and whether that drift was decided or simply happened.</w:t>
      </w:r>
    </w:p>
    <w:p>
      <w:pPr>
        <w:spacing w:after="80"/>
      </w:pPr>
    </w:p>
    <w:p>
      <w:pPr>
        <w:pBdr>
          <w:left w:val="single" w:color="1A3A4A" w:sz="3" w:space="8"/>
        </w:pBdr>
        <w:spacing w:after="160"/>
        <w:ind w:left="720" w:right="720"/>
      </w:pPr>
      <w:r>
        <w:rPr>
          <w:i/>
          <w:iCs/>
          <w:color w:val="4A4A4A"/>
        </w:rPr>
        <w:t xml:space="preserve">When Crna Mlaka’s share of attention drops across two consecutive reporting cycles without a recorded rationale, it has already crossed into Standing Orphan Alert status. That is not a prediction. Under area-weighted portfolio analysis, it is already there.</w:t>
      </w:r>
    </w:p>
    <w:p>
      <w:pPr>
        <w:pStyle w:val="Heading2"/>
      </w:pPr>
      <w:r>
        <w:t xml:space="preserve">What the numbers say</w:t>
      </w:r>
    </w:p>
    <w:p>
      <w:pPr>
        <w:pStyle w:val="ListParagraph"/>
        <w:numPr>
          <w:ilvl w:val="0"/>
          <w:numId w:val="2"/>
        </w:numPr>
        <w:spacing w:after="80"/>
      </w:pPr>
      <w:r>
        <w:rPr>
          <w:b/>
          <w:bCs/>
        </w:rPr>
        <w:t xml:space="preserve">0.91% </w:t>
      </w:r>
      <w:r>
        <w:rPr>
          <w:i/>
          <w:iCs/>
        </w:rPr>
        <w:t xml:space="preserve">Crna Mlaka’s proportional share of Croatia’s portfolio by area.</w:t>
      </w:r>
    </w:p>
    <w:p>
      <w:pPr>
        <w:pStyle w:val="ListParagraph"/>
        <w:numPr>
          <w:ilvl w:val="0"/>
          <w:numId w:val="2"/>
        </w:numPr>
        <w:spacing w:after="80"/>
      </w:pPr>
      <w:r>
        <w:rPr>
          <w:b/>
          <w:bCs/>
        </w:rPr>
        <w:t xml:space="preserve">110 </w:t>
      </w:r>
      <w:r>
        <w:rPr>
          <w:i/>
          <w:iCs/>
        </w:rPr>
        <w:t xml:space="preserve">Its governance leverage: 1 ÷ 0.0091. Any share reduction is amplified 110×.</w:t>
      </w:r>
    </w:p>
    <w:p>
      <w:pPr>
        <w:pStyle w:val="ListParagraph"/>
        <w:numPr>
          <w:ilvl w:val="0"/>
          <w:numId w:val="2"/>
        </w:numPr>
        <w:spacing w:after="80"/>
      </w:pPr>
      <w:r>
        <w:rPr>
          <w:b/>
          <w:bCs/>
        </w:rPr>
        <w:t xml:space="preserve">82% </w:t>
      </w:r>
      <w:r>
        <w:rPr>
          <w:i/>
          <w:iCs/>
        </w:rPr>
        <w:t xml:space="preserve">Share held by just two sites — Kopački Rit and Lonjsko Polje. PROOF line = 2.</w:t>
      </w:r>
    </w:p>
    <w:p>
      <w:pPr>
        <w:pStyle w:val="ListParagraph"/>
        <w:numPr>
          <w:ilvl w:val="0"/>
          <w:numId w:val="2"/>
        </w:numPr>
        <w:spacing w:after="80"/>
      </w:pPr>
      <w:r>
        <w:rPr>
          <w:b/>
          <w:bCs/>
        </w:rPr>
        <w:t xml:space="preserve">4.8pp </w:t>
      </w:r>
      <w:r>
        <w:rPr>
          <w:i/>
          <w:iCs/>
        </w:rPr>
        <w:t xml:space="preserve">Mean drift gap across the Croatian portfolio. Action window is open.</w:t>
      </w:r>
    </w:p>
    <w:p>
      <w:pPr>
        <w:pStyle w:val="Heading2"/>
      </w:pPr>
      <w:r>
        <w:t xml:space="preserve">What HUF does</w:t>
      </w:r>
    </w:p>
    <w:p>
      <w:pPr>
        <w:spacing w:after="160"/>
      </w:pPr>
      <w:r>
        <w:t xml:space="preserve">The Higgins Unity Framework takes the RSIS export data you already produce — site areas, endemism counts, designation dates — and computes proportional shares for each site. It then tracks those shares across reporting cycles, classifying every significant shift as either intentional reweighting (a recorded governance decision) or silent drift (no decision on record).</w:t>
      </w:r>
    </w:p>
    <w:p>
      <w:pPr>
        <w:spacing w:after="80"/>
      </w:pPr>
    </w:p>
    <w:p>
      <w:pPr>
        <w:spacing w:after="160"/>
      </w:pPr>
      <w:r>
        <w:t xml:space="preserve">No new surveys. No new software on your servers. No change to how site managers work. It is read-only. The output is four plain CSV files that attach to documents you already produce. The code is open-source and freely available at huf.org.</w:t>
      </w:r>
    </w:p>
    <w:p>
      <w:pPr>
        <w:spacing w:after="80"/>
      </w:pPr>
    </w:p>
    <w:p>
      <w:pPr>
        <w:spacing w:after="160"/>
      </w:pPr>
      <w:r>
        <w:t xml:space="preserve">This same diagnostic logic has been validated across structurally unrelated domains: wetland ecology, hard drive failure portfolios, energy grid load allocation, urban transit systems, and the Planck satellite CMB power spectrum. The mathematics are domain-invariant. The instrument works wherever the unity constraint holds — and it always holds.</w:t>
      </w:r>
    </w:p>
    <w:p>
      <w:pPr>
        <w:pStyle w:val="Heading2"/>
      </w:pPr>
      <w:r>
        <w:t xml:space="preserve">huf.org — An open governance standard</w:t>
      </w:r>
    </w:p>
    <w:p>
      <w:pPr>
        <w:spacing w:after="160"/>
      </w:pPr>
      <w:r>
        <w:t xml:space="preserve">HUF is maintained as an open governance standard at huf.org. The framework, its formal mathematical corpus (27 results, independently reviewed by a five-AI collective), and all supporting materials are available under the MIT License. Organizations engage at the tier that serves their mission:</w:t>
      </w:r>
    </w:p>
    <w:p>
      <w:pPr>
        <w:pStyle w:val="ListParagraph"/>
        <w:numPr>
          <w:ilvl w:val="0"/>
          <w:numId w:val="2"/>
        </w:numPr>
        <w:spacing w:after="80"/>
      </w:pPr>
      <w:r>
        <w:rPr>
          <w:b/>
          <w:bCs/>
        </w:rPr>
        <w:t xml:space="preserve">Reference: </w:t>
      </w:r>
      <w:r>
        <w:t xml:space="preserve">Use the standard freely, with attribution.</w:t>
      </w:r>
    </w:p>
    <w:p>
      <w:pPr>
        <w:pStyle w:val="ListParagraph"/>
        <w:numPr>
          <w:ilvl w:val="0"/>
          <w:numId w:val="2"/>
        </w:numPr>
        <w:spacing w:after="80"/>
      </w:pPr>
      <w:r>
        <w:rPr>
          <w:b/>
          <w:bCs/>
        </w:rPr>
        <w:t xml:space="preserve">Adoption: </w:t>
      </w:r>
      <w:r>
        <w:t xml:space="preserve">Formally adopt MC-4 monitoring; contribute validation data to the evidence base.</w:t>
      </w:r>
    </w:p>
    <w:p>
      <w:pPr>
        <w:pStyle w:val="ListParagraph"/>
        <w:numPr>
          <w:ilvl w:val="0"/>
          <w:numId w:val="2"/>
        </w:numPr>
        <w:spacing w:after="80"/>
      </w:pPr>
      <w:r>
        <w:rPr>
          <w:b/>
          <w:bCs/>
        </w:rPr>
        <w:t xml:space="preserve">Stewardship: </w:t>
      </w:r>
      <w:r>
        <w:t xml:space="preserve">Join the huf.org Governance Council; participate in shaping the standard’s evolution.</w:t>
      </w:r>
    </w:p>
    <w:p>
      <w:pPr>
        <w:pStyle w:val="Heading2"/>
      </w:pPr>
      <w:r>
        <w:t xml:space="preserve">One question — one ask</w:t>
      </w:r>
    </w:p>
    <w:p>
      <w:pPr>
        <w:spacing w:after="160"/>
      </w:pPr>
      <w:r>
        <w:t xml:space="preserve">Does cross-cycle allocation traceability — knowing whether portfolio shifts were decided or just happened — correspond to any current Secretariat or Regional Initiative work?</w:t>
      </w:r>
    </w:p>
    <w:p>
      <w:pPr>
        <w:spacing w:after="80"/>
      </w:pPr>
    </w:p>
    <w:p>
      <w:pPr>
        <w:spacing w:after="160"/>
      </w:pPr>
      <w:r>
        <w:t xml:space="preserve">If yes: a demonstration using Croatia’s public RSIS data can be produced at no cost, with no preparation required on your side. The result is a portfolio share table and trace report you can review before any further decision.</w:t>
      </w:r>
    </w:p>
    <w:p>
      <w:pPr>
        <w:spacing w:after="80"/>
      </w:pPr>
    </w:p>
    <w:p>
      <w:pPr>
        <w:spacing w:after="160"/>
      </w:pPr>
      <w:r>
        <w:t xml:space="preserve">If no: that assessment is equally useful.</w:t>
      </w:r>
    </w:p>
    <w:p>
      <w:pPr>
        <w:spacing w:after="80"/>
      </w:pPr>
    </w:p>
    <w:p>
      <w:pPr>
        <w:pBdr>
          <w:left w:val="single" w:color="1A3A4A" w:sz="3" w:space="8"/>
        </w:pBdr>
        <w:spacing w:after="160"/>
        <w:ind w:left="720" w:right="720"/>
      </w:pPr>
      <w:r>
        <w:rPr>
          <w:i/>
          <w:iCs/>
          <w:color w:val="4A4A4A"/>
        </w:rPr>
        <w:t xml:space="preserve">We are not asking for endorsement. We are asking for the chance to show you something your current instruments cannot. huf.org exists to make that possible.</w:t>
      </w:r>
    </w:p>
    <w:p>
      <w:pPr>
        <w:spacing w:after="80"/>
      </w:pPr>
    </w:p>
    <w:p>
      <w:pPr>
        <w:spacing w:after="160"/>
      </w:pPr>
      <w:r>
        <w:t xml:space="preserve">Thank you for your time.</w:t>
      </w:r>
    </w:p>
    <w:p>
      <w:pPr>
        <w:spacing w:after="80"/>
      </w:pPr>
    </w:p>
    <w:p>
      <w:pPr>
        <w:spacing w:after="160"/>
      </w:pPr>
      <w:r>
        <w:t xml:space="preserve">Sincerely,</w:t>
      </w:r>
    </w:p>
    <w:p>
      <w:pPr>
        <w:spacing w:after="80"/>
      </w:pPr>
    </w:p>
    <w:p>
      <w:pPr>
        <w:spacing w:after="160"/>
      </w:pPr>
      <w:r>
        <w:rPr>
          <w:b/>
          <w:bCs/>
        </w:rPr>
        <w:t xml:space="preserve">Peter Higgins</w:t>
      </w:r>
    </w:p>
    <w:p>
      <w:pPr>
        <w:spacing w:after="160"/>
      </w:pPr>
      <w:r>
        <w:t xml:space="preserve">Founder, huf.org · Rogue Wave Audio · Markham, Ontario, Canada</w:t>
      </w:r>
    </w:p>
    <w:p>
      <w:pPr>
        <w:spacing w:after="160"/>
      </w:pPr>
      <w:r>
        <w:t xml:space="preserve">Electronics Engineering Technologist · HUF Research Programme</w:t>
      </w:r>
    </w:p>
    <w:p>
      <w:pPr>
        <w:spacing w:after="160"/>
      </w:pPr>
      <w:r>
        <w:rPr>
          <w:i/>
          <w:iCs/>
        </w:rPr>
        <w:t xml:space="preserve">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p>
      <w:r>
        <w:br w:type="page"/>
      </w:r>
    </w:p>
    <w:p>
      <w:pPr>
        <w:spacing w:after="160"/>
      </w:pPr>
      <w:r>
        <w:rPr>
          <w:b/>
          <w:bCs/>
        </w:rPr>
        <w:t xml:space="preserve">huf.org</w:t>
      </w:r>
      <w:r>
        <w:t xml:space="preserve">  ·  Higgins Unity Framework  ·  Otvoreni standard upravljanja</w:t>
      </w:r>
    </w:p>
    <w:p>
      <w:pPr>
        <w:spacing w:after="80"/>
      </w:pPr>
    </w:p>
    <w:p>
      <w:pPr>
        <w:spacing w:after="160"/>
      </w:pPr>
      <w:r>
        <w:t xml:space="preserve">17. ožujka 2026.</w:t>
      </w:r>
    </w:p>
    <w:p>
      <w:pPr>
        <w:spacing w:after="80"/>
      </w:pPr>
    </w:p>
    <w:p>
      <w:pPr>
        <w:spacing w:after="160"/>
      </w:pPr>
      <w:r>
        <w:rPr>
          <w:b/>
          <w:bCs/>
        </w:rPr>
        <w:t xml:space="preserve">Tajništvo Ramsarske konvencije · Regionalna inicijativa MedWet</w:t>
      </w:r>
    </w:p>
    <w:p>
      <w:pPr>
        <w:spacing w:after="160"/>
      </w:pPr>
      <w:r>
        <w:t xml:space="preserve">Gland, Švicarska</w:t>
      </w:r>
    </w:p>
    <w:p>
      <w:pPr>
        <w:spacing w:after="80"/>
      </w:pPr>
    </w:p>
    <w:p>
      <w:pPr>
        <w:spacing w:after="160"/>
      </w:pPr>
      <w:r>
        <w:rPr>
          <w:b/>
          <w:bCs/>
        </w:rPr>
        <w:t xml:space="preserve">Predmet: </w:t>
      </w:r>
      <w:r>
        <w:t xml:space="preserve">Crna Mlaka je već napuštena. Vaš okvir to ne može vidjeti.</w:t>
      </w:r>
    </w:p>
    <w:p>
      <w:pPr>
        <w:spacing w:after="80"/>
      </w:pPr>
    </w:p>
    <w:p>
      <w:pPr>
        <w:spacing w:after="160"/>
      </w:pPr>
      <w:r>
        <w:t xml:space="preserve">Poštovani,</w:t>
      </w:r>
    </w:p>
    <w:p>
      <w:pPr>
        <w:spacing w:after="80"/>
      </w:pPr>
    </w:p>
    <w:p>
      <w:pPr>
        <w:spacing w:after="160"/>
      </w:pPr>
      <w:r>
        <w:rPr>
          <w:b/>
          <w:bCs/>
        </w:rPr>
        <w:t xml:space="preserve">Crna Mlaka pokriva 0,91% hrvatskog Ramsarskog portfelja od 93.590 ha. Njezina upravljačka poluga iznosi 110. Nitko to nije odlučio.</w:t>
      </w:r>
    </w:p>
    <w:p>
      <w:pPr>
        <w:spacing w:after="80"/>
      </w:pPr>
    </w:p>
    <w:p>
      <w:pPr>
        <w:spacing w:after="160"/>
      </w:pPr>
      <w:r>
        <w:t xml:space="preserve">Poluga 110 znači sljedeće: ako udio Crne Mlake u pozornosti portfelja padne i za samo jedan postotni bod — jedan sastanak manje, jedan odgođeni monitoring, jedan ciklus financiranja u kojemu 40.000 ha Kopačkog Rita ispune prostoriju — strukturna šteta je 110 puta veća nego što bi isti pomak uzrokovao na velikom lokalitetu. Ovaj lokalitet ima jednu od najviših koncentracija endemskih vrsta riba u sustavu Neretve. Nezamjenjiv je. I dovoljno je malen da nikad nije bila potrebna nikakva formalna odluka da bi se počelo gubiti.</w:t>
      </w:r>
    </w:p>
    <w:p>
      <w:pPr>
        <w:spacing w:after="80"/>
      </w:pPr>
    </w:p>
    <w:p>
      <w:pPr>
        <w:spacing w:after="160"/>
      </w:pPr>
      <w:r>
        <w:t xml:space="preserve">To je problem koji vaši trenutni alati ne mogu vidjeti. METT, RAPPAM i SAT procjenjuju kvalitetu upravljanja na pojedinom lokalitetu. Nijedan od njih ne prati mijenja li se raspodjela institucionalne pozornosti po cijelom portfelju — i je li ta promjena bila donesena odlukom ili se jednostavno dogodila.</w:t>
      </w:r>
    </w:p>
    <w:p>
      <w:pPr>
        <w:spacing w:after="80"/>
      </w:pPr>
    </w:p>
    <w:p>
      <w:pPr>
        <w:pBdr>
          <w:left w:val="single" w:color="1A3A4A" w:sz="3" w:space="8"/>
        </w:pBdr>
        <w:spacing w:after="160"/>
        <w:ind w:left="720" w:right="720"/>
      </w:pPr>
      <w:r>
        <w:rPr>
          <w:i/>
          <w:iCs/>
          <w:color w:val="4A4A4A"/>
        </w:rPr>
        <w:t xml:space="preserve">Kada udio Crne Mlake u pozornosti padne kroz dva uzastopna ciklusa izvještavanja bez zabilježenog obrazloženja, lokalitet je već ušao u Status trajnog upozorenja o napuštanju. To nije predviđanje. U analizi portfelja ponderiranoj površinom — on je već tamo.</w:t>
      </w:r>
    </w:p>
    <w:p>
      <w:pPr>
        <w:pStyle w:val="Heading2"/>
      </w:pPr>
      <w:r>
        <w:t xml:space="preserve">Što brojevi govore</w:t>
      </w:r>
    </w:p>
    <w:p>
      <w:pPr>
        <w:pStyle w:val="ListParagraph"/>
        <w:numPr>
          <w:ilvl w:val="0"/>
          <w:numId w:val="2"/>
        </w:numPr>
        <w:spacing w:after="80"/>
      </w:pPr>
      <w:r>
        <w:rPr>
          <w:b/>
          <w:bCs/>
        </w:rPr>
        <w:t xml:space="preserve">0,91% </w:t>
      </w:r>
      <w:r>
        <w:rPr>
          <w:i/>
          <w:iCs/>
        </w:rPr>
        <w:t xml:space="preserve">Proporcionalni udio Crne Mlake u portfelju po površini.</w:t>
      </w:r>
    </w:p>
    <w:p>
      <w:pPr>
        <w:pStyle w:val="ListParagraph"/>
        <w:numPr>
          <w:ilvl w:val="0"/>
          <w:numId w:val="2"/>
        </w:numPr>
        <w:spacing w:after="80"/>
      </w:pPr>
      <w:r>
        <w:rPr>
          <w:b/>
          <w:bCs/>
        </w:rPr>
        <w:t xml:space="preserve">110 </w:t>
      </w:r>
      <w:r>
        <w:rPr>
          <w:i/>
          <w:iCs/>
        </w:rPr>
        <w:t xml:space="preserve">Upravljanja poluga: 1 ÷ 0,0091. Svako smanjenje udjela pojačava se 110×.</w:t>
      </w:r>
    </w:p>
    <w:p>
      <w:pPr>
        <w:pStyle w:val="ListParagraph"/>
        <w:numPr>
          <w:ilvl w:val="0"/>
          <w:numId w:val="2"/>
        </w:numPr>
        <w:spacing w:after="80"/>
      </w:pPr>
      <w:r>
        <w:rPr>
          <w:b/>
          <w:bCs/>
        </w:rPr>
        <w:t xml:space="preserve">82% </w:t>
      </w:r>
      <w:r>
        <w:rPr>
          <w:i/>
          <w:iCs/>
        </w:rPr>
        <w:t xml:space="preserve">Udio koji drže samo dva lokaliteta — Kopački Rit i Lonjsko Polje. PROOF linija = 2.</w:t>
      </w:r>
    </w:p>
    <w:p>
      <w:pPr>
        <w:pStyle w:val="ListParagraph"/>
        <w:numPr>
          <w:ilvl w:val="0"/>
          <w:numId w:val="2"/>
        </w:numPr>
        <w:spacing w:after="80"/>
      </w:pPr>
      <w:r>
        <w:rPr>
          <w:b/>
          <w:bCs/>
        </w:rPr>
        <w:t xml:space="preserve">4,8pp </w:t>
      </w:r>
      <w:r>
        <w:rPr>
          <w:i/>
          <w:iCs/>
        </w:rPr>
        <w:t xml:space="preserve">Prosječni jaz pomaka u hrvatskom portfelju. Prozor za djelovanje je otvoren.</w:t>
      </w:r>
    </w:p>
    <w:p>
      <w:pPr>
        <w:pStyle w:val="Heading2"/>
      </w:pPr>
      <w:r>
        <w:t xml:space="preserve">Što HUF čini</w:t>
      </w:r>
    </w:p>
    <w:p>
      <w:pPr>
        <w:spacing w:after="160"/>
      </w:pPr>
      <w:r>
        <w:t xml:space="preserve">Higgins Unity Framework uzima RSIS izvozne podatke koje već proizvodite — površine lokaliteta, broj endemskih vrsta, datume određivanja — i izračunava proporcionalne udjele za svaki lokalitet. Zatim prati te udjele kroz cikluse izvještavanja, klasificirajući svaki značajan pomak kao namjerno reponderiranje (zabilježena upravljanja odluka) ili tihi pomak (bez zabilježene odluke).</w:t>
      </w:r>
    </w:p>
    <w:p>
      <w:pPr>
        <w:spacing w:after="80"/>
      </w:pPr>
    </w:p>
    <w:p>
      <w:pPr>
        <w:spacing w:after="160"/>
      </w:pPr>
      <w:r>
        <w:t xml:space="preserve">Bez novih terenskih istraživanja. Bez novog softvera na vašim poslužiteljima. Bez ikakve promjene načina rada upravitelja lokaliteta. Samo za čitanje. Rezultat su četiri jednostavne CSV datoteke koje se prikvačuju na dokumente koje već izrađujete. Kôd je otvorenog koda, dostupan na huf.org.</w:t>
      </w:r>
    </w:p>
    <w:p>
      <w:pPr>
        <w:pStyle w:val="Heading2"/>
      </w:pPr>
      <w:r>
        <w:t xml:space="preserve">huf.org — Otvoreni standard upravljanja</w:t>
      </w:r>
    </w:p>
    <w:p>
      <w:pPr>
        <w:spacing w:after="160"/>
      </w:pPr>
      <w:r>
        <w:t xml:space="preserve">HUF se održava kao otvoreni standard upravljanja na huf.org. Okvir, njegova formalna matematička zbirka (27 rezultata) i svi popratni materijali dostupni su pod MIT licencom. Organizacije se uključuju na razini koja služi njihovoj misiji:</w:t>
      </w:r>
    </w:p>
    <w:p>
      <w:pPr>
        <w:pStyle w:val="ListParagraph"/>
        <w:numPr>
          <w:ilvl w:val="0"/>
          <w:numId w:val="2"/>
        </w:numPr>
        <w:spacing w:after="80"/>
      </w:pPr>
      <w:r>
        <w:rPr>
          <w:b/>
          <w:bCs/>
        </w:rPr>
        <w:t xml:space="preserve">Referenca: </w:t>
      </w:r>
      <w:r>
        <w:t xml:space="preserve">Koristite standard slobodno, uz navod izvora.</w:t>
      </w:r>
    </w:p>
    <w:p>
      <w:pPr>
        <w:pStyle w:val="ListParagraph"/>
        <w:numPr>
          <w:ilvl w:val="0"/>
          <w:numId w:val="2"/>
        </w:numPr>
        <w:spacing w:after="80"/>
      </w:pPr>
      <w:r>
        <w:rPr>
          <w:b/>
          <w:bCs/>
        </w:rPr>
        <w:t xml:space="preserve">Usvajanje: </w:t>
      </w:r>
      <w:r>
        <w:t xml:space="preserve">Formalno usvojite MC-4 monitoring; doprinesite podacima validacije.</w:t>
      </w:r>
    </w:p>
    <w:p>
      <w:pPr>
        <w:pStyle w:val="ListParagraph"/>
        <w:numPr>
          <w:ilvl w:val="0"/>
          <w:numId w:val="2"/>
        </w:numPr>
        <w:spacing w:after="80"/>
      </w:pPr>
      <w:r>
        <w:rPr>
          <w:b/>
          <w:bCs/>
        </w:rPr>
        <w:t xml:space="preserve">Upravljanje: </w:t>
      </w:r>
      <w:r>
        <w:t xml:space="preserve">Pridružite se Vijeću za upravljanje huf.org; sudjelujte u oblikovanju standarda.</w:t>
      </w:r>
    </w:p>
    <w:p>
      <w:pPr>
        <w:spacing w:after="80"/>
      </w:pPr>
    </w:p>
    <w:p>
      <w:pPr>
        <w:pBdr>
          <w:left w:val="single" w:color="1A3A4A" w:sz="3" w:space="8"/>
        </w:pBdr>
        <w:spacing w:after="160"/>
        <w:ind w:left="720" w:right="720"/>
      </w:pPr>
      <w:r>
        <w:rPr>
          <w:i/>
          <w:iCs/>
          <w:color w:val="4A4A4A"/>
        </w:rPr>
        <w:t xml:space="preserve">Ne tražimo odobrenje. Tražimo priliku da vam pokažemo nešto što vaši trenutni instrumenti ne mogu. huf.org postoji da to omogući.</w:t>
      </w:r>
    </w:p>
    <w:p>
      <w:pPr>
        <w:spacing w:after="80"/>
      </w:pPr>
    </w:p>
    <w:p>
      <w:pPr>
        <w:spacing w:after="160"/>
      </w:pPr>
      <w:r>
        <w:t xml:space="preserve">Zahvaljujem na vašem vremenu.</w:t>
      </w:r>
    </w:p>
    <w:p>
      <w:pPr>
        <w:spacing w:after="80"/>
      </w:pPr>
    </w:p>
    <w:p>
      <w:pPr>
        <w:spacing w:after="160"/>
      </w:pPr>
      <w:r>
        <w:t xml:space="preserve">S poštovanjem,</w:t>
      </w:r>
    </w:p>
    <w:p>
      <w:pPr>
        <w:spacing w:after="80"/>
      </w:pPr>
    </w:p>
    <w:p>
      <w:pPr>
        <w:spacing w:after="160"/>
      </w:pPr>
      <w:r>
        <w:rPr>
          <w:b/>
          <w:bCs/>
        </w:rPr>
        <w:t xml:space="preserve">Peter Higgins</w:t>
      </w:r>
    </w:p>
    <w:p>
      <w:pPr>
        <w:spacing w:after="160"/>
      </w:pPr>
      <w:r>
        <w:t xml:space="preserve">Osnivač, huf.org · Rogue Wave Audio · Markham, Ontario, Kanada</w:t>
      </w:r>
    </w:p>
    <w:p>
      <w:pPr>
        <w:spacing w:after="160"/>
      </w:pPr>
      <w:r>
        <w:t xml:space="preserve">Diplomirani inženjer elektronike · HUF istraživački program</w:t>
      </w:r>
    </w:p>
    <w:p>
      <w:pPr>
        <w:spacing w:after="160"/>
      </w:pPr>
      <w:r>
        <w:rPr>
          <w:i/>
          <w:iCs/>
        </w:rPr>
        <w:t xml:space="preserve">peter@huf.org · peterhiggins2016@gmail.com</w:t>
      </w:r>
    </w:p>
    <w:p>
      <w:pPr>
        <w:spacing w:after="80"/>
      </w:pPr>
    </w:p>
    <w:p>
      <w:pPr>
        <w:spacing w:after="160"/>
      </w:pPr>
      <w:r>
        <w:rPr>
          <w:i/>
          <w:iCs/>
        </w:rPr>
        <w:t xml:space="preserve">Pripremljeno uz pomoć AI-asistiranog pisanja od strane huf.org razvojnog kolektiva, pregledano i odobreno od strane Petera Higginsa kao glavnog autora.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2026-03-17T15:19:32.195Z</dcterms:created>
  <dcterms:modified xsi:type="dcterms:W3CDTF">2026-03-17T15:19:32.195Z</dcterms:modified>
</cp:coreProperties>
</file>

<file path=docProps/custom.xml><?xml version="1.0" encoding="utf-8"?>
<Properties xmlns="http://schemas.openxmlformats.org/officeDocument/2006/custom-properties" xmlns:vt="http://schemas.openxmlformats.org/officeDocument/2006/docPropsVTypes"/>
</file>