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 Briefing for Internal Discussion</w:t>
      </w:r>
    </w:p>
    <w:p>
      <w:pPr>
        <w:spacing w:after="160"/>
      </w:pPr>
      <w:r>
        <w:rPr>
          <w:b/>
          <w:bCs/>
        </w:rPr>
        <w:t xml:space="preserve">Introducing the Higgins Unity Framework</w:t>
      </w:r>
      <w:r>
        <w:t xml:space="preserve"> — an open governance standard maintained at huf.org</w:t>
      </w:r>
    </w:p>
    <w:p>
      <w:pPr>
        <w:spacing w:after="160"/>
      </w:pPr>
      <w:r>
        <w:rPr>
          <w:i/>
          <w:iCs/>
        </w:rPr>
        <w:t xml:space="preserve">A decision-support layer for portfolio coherence</w:t>
      </w:r>
    </w:p>
    <w:p>
      <w:pPr>
        <w:spacing w:after="160"/>
      </w:pPr>
      <w:r>
        <w:rPr>
          <w:i/>
          <w:iCs/>
        </w:rPr>
        <w:t xml:space="preserve">What it shows · What it adds to existing tools · What we are asking you to consider</w:t>
      </w:r>
    </w:p>
    <w:p>
      <w:pPr>
        <w:spacing w:after="80"/>
      </w:pPr>
    </w:p>
    <w:p>
      <w:pPr>
        <w:pBdr>
          <w:left w:val="single" w:color="1A3A4A" w:sz="3" w:space="8"/>
        </w:pBdr>
        <w:spacing w:after="160"/>
        <w:ind w:left="720" w:right="720"/>
      </w:pPr>
      <w:r>
        <w:rPr>
          <w:i/>
          <w:iCs/>
          <w:color w:val="4A4A4A"/>
        </w:rPr>
        <w:t xml:space="preserve">Every reporting cycle, a National Report may present acceptable site-level results while underlying patterns of monitoring effort or resource allocation shift toward a small number of high-visibility sites. The Higgins Unity Framework (HUF), maintained as an open standard at huf.org, provides a way to make such cross-cycle changes visible in a consistent, traceable format.</w:t>
      </w:r>
    </w:p>
    <w:p>
      <w:pPr>
        <w:pStyle w:val="Heading2"/>
      </w:pPr>
      <w:r>
        <w:t xml:space="preserve">The drift that does not appear in any single report</w:t>
      </w:r>
    </w:p>
    <w:p>
      <w:pPr>
        <w:spacing w:after="160"/>
      </w:pPr>
      <w:r>
        <w:t xml:space="preserve">Contracting Parties submit National Reports every three years. Site managers complete RIS forms and METT scorecards. These instruments provide information on site-level management. The challenge arises when changes occur not at the site level, but in the distribution of attention across a portfolio.</w:t>
      </w:r>
    </w:p>
    <w:p>
      <w:pPr>
        <w:spacing w:after="160"/>
      </w:pPr>
      <w:r>
        <w:t xml:space="preserve">Many consequential shifts are gradual: increased focus on transboundary or high-profile wetlands, reduced monitoring in lower-visibility sites with high ecological value, or incremental reallocation of resources without a corresponding policy decision. Each reporting cycle may appear consistent on its own. The pattern becomes visible only when viewed across cycles.</w:t>
      </w:r>
    </w:p>
    <w:p>
      <w:pPr>
        <w:spacing w:after="160"/>
      </w:pPr>
      <w:r>
        <w:t xml:space="preserve">Ramsar guidance asks Parties to report adverse change in ecological character and to use traceable indicators that support governance accountability.</w:t>
      </w:r>
    </w:p>
    <w:p>
      <w:pPr>
        <w:pBdr>
          <w:left w:val="single" w:color="1A3A4A" w:sz="3" w:space="8"/>
        </w:pBdr>
        <w:spacing w:after="160"/>
        <w:ind w:left="720" w:right="720"/>
      </w:pPr>
      <w:r>
        <w:rPr>
          <w:i/>
          <w:iCs/>
          <w:color w:val="4A4A4A"/>
        </w:rPr>
        <w:t xml:space="preserve">The issue is not sudden decline. It is slow reweighting that remains unreported because no mechanism currently tracks it.</w:t>
      </w:r>
    </w:p>
    <w:p>
      <w:pPr>
        <w:pStyle w:val="Heading2"/>
      </w:pPr>
      <w:r>
        <w:t xml:space="preserve">What this framework adds to tools you already use</w:t>
      </w:r>
    </w:p>
    <w:p>
      <w:pPr>
        <w:spacing w:after="160"/>
      </w:pPr>
      <w:r>
        <w:t xml:space="preserve">The Higgins Unity Framework is a traceability layer. It does not replace METT, RAPPAM, or the Site Assessment Tool (SAT). It uses outputs already produced — site scores, biodiversity data, area, endemism rates, ecosystem service values — and organises them into a shared portfolio view in which each site’s proportional share is explicit and comparable across cycles.</w:t>
      </w:r>
    </w:p>
    <w:p>
      <w:pPr>
        <w:spacing w:after="160"/>
      </w:pPr>
      <w:r>
        <w:t xml:space="preserve">HUF does not determine which ecological metrics are most important. Those decisions remain with national scientific teams. The framework records the weightings those teams apply and preserves them across reporting cycles. When portfolio shares shift, the shift is visible and attributable. Administrative pressures are not altered; their effects become legible.</w:t>
      </w:r>
    </w:p>
    <w:p>
      <w:pPr>
        <w:spacing w:after="160"/>
      </w:pPr>
      <w:r>
        <w:t xml:space="preserve">In practical terms, the framework distinguishes between intentional reweighting — a documented policy or management decision — and silent reweighting — a shift occurring without a recorded decision. Whether a portfolio is concentrating or fragmenting, the framework detects both directions of change and records the decision context, converting ambiguity into clear, actionable transparency.</w:t>
      </w:r>
    </w:p>
    <w:p>
      <w:pPr>
        <w:pBdr>
          <w:left w:val="single" w:color="1A3A4A" w:sz="3" w:space="8"/>
        </w:pBdr>
        <w:spacing w:after="160"/>
        <w:ind w:left="720" w:right="720"/>
      </w:pPr>
      <w:r>
        <w:rPr>
          <w:i/>
          <w:iCs/>
          <w:color w:val="4A4A4A"/>
        </w:rPr>
        <w:t xml:space="preserve">METT does exactly what it was designed to do. So does this framework — for a different question.</w:t>
      </w:r>
    </w:p>
    <w:p>
      <w:pPr>
        <w:spacing w:after="160"/>
      </w:pPr>
      <w:r>
        <w:t xml:space="preserve">METT, RAPPAM, and SAT assess management quality at a point in time. They do so effectively. The gap HUF addresses is different: whether the distribution of attention across a portfolio remains proportional over time. This is outside the scope of existing tools.</w:t>
      </w:r>
    </w:p>
    <w:p>
      <w:pPr>
        <w:spacing w:after="160"/>
      </w:pPr>
      <w:r>
        <w:t xml:space="preserve">The framework’s outputs are designed to attach to documents Parties already produce:</w:t>
      </w:r>
    </w:p>
    <w:p>
      <w:pPr>
        <w:pStyle w:val="ListParagraph"/>
        <w:numPr>
          <w:ilvl w:val="0"/>
          <w:numId w:val="2"/>
        </w:numPr>
        <w:spacing w:after="80"/>
      </w:pPr>
      <w:r>
        <w:rPr>
          <w:b/>
          <w:bCs/>
        </w:rPr>
        <w:t xml:space="preserve">Portfolio share table </w:t>
      </w:r>
      <w:r>
        <w:t xml:space="preserve">— allocation view suitable for National Report annexes</w:t>
      </w:r>
    </w:p>
    <w:p>
      <w:pPr>
        <w:pStyle w:val="ListParagraph"/>
        <w:numPr>
          <w:ilvl w:val="0"/>
          <w:numId w:val="2"/>
        </w:numPr>
        <w:spacing w:after="80"/>
      </w:pPr>
      <w:r>
        <w:rPr>
          <w:b/>
          <w:bCs/>
        </w:rPr>
        <w:t xml:space="preserve">Trace report </w:t>
      </w:r>
      <w:r>
        <w:t xml:space="preserve">— line-item explanation of why shares sit where they do</w:t>
      </w:r>
    </w:p>
    <w:p>
      <w:pPr>
        <w:pStyle w:val="ListParagraph"/>
        <w:numPr>
          <w:ilvl w:val="0"/>
          <w:numId w:val="2"/>
        </w:numPr>
        <w:spacing w:after="80"/>
      </w:pPr>
      <w:r>
        <w:rPr>
          <w:b/>
          <w:bCs/>
        </w:rPr>
        <w:t xml:space="preserve">Portfolio change log </w:t>
      </w:r>
      <w:r>
        <w:t xml:space="preserve">— evidence distinguishing deliberate policy shifts from unexplained movement</w:t>
      </w:r>
    </w:p>
    <w:p>
      <w:pPr>
        <w:pStyle w:val="ListParagraph"/>
        <w:numPr>
          <w:ilvl w:val="0"/>
          <w:numId w:val="2"/>
        </w:numPr>
        <w:spacing w:after="80"/>
      </w:pPr>
      <w:r>
        <w:rPr>
          <w:b/>
          <w:bCs/>
        </w:rPr>
        <w:t xml:space="preserve">Coverage record </w:t>
      </w:r>
      <w:r>
        <w:t xml:space="preserve">— documentation of what received reduced focus and the criteria involved</w:t>
      </w:r>
    </w:p>
    <w:p>
      <w:pPr>
        <w:spacing w:after="160"/>
      </w:pPr>
      <w:r>
        <w:t xml:space="preserve">These are standard CSV outputs. They attach to existing reporting structures. They do not require site managers to change how they work.</w:t>
      </w:r>
    </w:p>
    <w:p>
      <w:pPr>
        <w:pStyle w:val="Heading2"/>
      </w:pPr>
      <w:r>
        <w:t xml:space="preserve">What a pilot could look like</w:t>
      </w:r>
    </w:p>
    <w:p>
      <w:pPr>
        <w:spacing w:after="160"/>
      </w:pPr>
      <w:r>
        <w:t xml:space="preserve">A potential pilot could focus on Croatia’s five Ramsar sites: Kopački Rit, Lonjsko Polje and Mokro Polje, Crna Mlaka, Lower Neretva Valley, and Vransko Lake Nature Park and Crkvine Wetland — totalling 93,590 hectares (RSIS Annotated Summary, Croatia, 2024).</w:t>
      </w:r>
    </w:p>
    <w:p>
      <w:pPr>
        <w:spacing w:after="160"/>
      </w:pPr>
      <w:r>
        <w:t xml:space="preserve">The underlying data already exists. The gap is the absence of a mechanism to trace whether administrative gravity produces unreported reweighting across the portfolio.</w:t>
      </w:r>
    </w:p>
    <w:p>
      <w:pPr>
        <w:spacing w:after="160"/>
      </w:pPr>
      <w:r>
        <w:t xml:space="preserve">A pilot could be structured over approximately 18 months: establish a steering group with the Croatian Ministry and local partners; collect and verify baseline data from public RSIS exports; run the framework on site metrics and produce baseline artifacts; and prepare a final report for internal review. Funding pathways can be discussed separately. All code is open-source at huf.org. Outputs are standard CSV files.</w:t>
      </w:r>
    </w:p>
    <w:p>
      <w:pPr>
        <w:pBdr>
          <w:left w:val="single" w:color="1A3A4A" w:sz="3" w:space="8"/>
        </w:pBdr>
        <w:spacing w:after="160"/>
        <w:ind w:left="720" w:right="720"/>
      </w:pPr>
      <w:r>
        <w:rPr>
          <w:i/>
          <w:iCs/>
          <w:color w:val="4A4A4A"/>
        </w:rPr>
        <w:t xml:space="preserve">The pilot does not ask for endorsement of results. It asks for the opportunity to generate them. If the framework performs as intended, the artifacts will show it. If not, the artifacts will show that as well.</w:t>
      </w:r>
    </w:p>
    <w:p>
      <w:pPr>
        <w:pStyle w:val="Heading2"/>
      </w:pPr>
      <w:r>
        <w:t xml:space="preserve">What we are asking</w:t>
      </w:r>
    </w:p>
    <w:p>
      <w:pPr>
        <w:spacing w:after="160"/>
      </w:pPr>
      <w:r>
        <w:t xml:space="preserve">No resources or commitments are being requested. The question for internal discussion is: does the gap this framework addresses — cross-cycle allocation traceability across a site portfolio — correspond to any current Secretariat or Regional Initiative work?</w:t>
      </w:r>
    </w:p>
    <w:p>
      <w:pPr>
        <w:spacing w:after="160"/>
      </w:pPr>
      <w:r>
        <w:t xml:space="preserve">If so, an optional short demonstration using Croatia’s public RSIS data can be provided. No preparation is required. The resulting portfolio share table and trace report can be reviewed at your convenience.</w:t>
      </w:r>
    </w:p>
    <w:p>
      <w:pPr>
        <w:spacing w:after="160"/>
      </w:pPr>
      <w:r>
        <w:t xml:space="preserve">If the answer is no, that assessment is useful. If yes, the question becomes how this might relate to ongoing work on Strategic Plan Target 15 or National Report comparability across cycles. Either outcome is useful.</w:t>
      </w:r>
    </w:p>
    <w:p>
      <w:pPr>
        <w:pBdr>
          <w:left w:val="single" w:color="1A3A4A" w:sz="3" w:space="8"/>
        </w:pBdr>
        <w:spacing w:after="160"/>
        <w:ind w:left="720" w:right="720"/>
      </w:pPr>
      <w:r>
        <w:rPr>
          <w:i/>
          <w:iCs/>
          <w:color w:val="4A4A4A"/>
        </w:rPr>
        <w:t xml:space="preserve">Data provenance: Where RSIS or other public exports are cited, the specific export filename and retrieval date are recorded in the pilot baseline package.</w:t>
      </w:r>
    </w:p>
    <w:p>
      <w:pPr>
        <w:pStyle w:val="Heading2"/>
      </w:pPr>
      <w:r>
        <w:t xml:space="preserve">About huf.org</w:t>
      </w:r>
    </w:p>
    <w:p>
      <w:pPr>
        <w:spacing w:after="160"/>
      </w:pPr>
      <w:r>
        <w:t xml:space="preserve">The Higgins Unity Framework is maintained as an open governance standard at </w:t>
      </w:r>
      <w:r>
        <w:rPr>
          <w:b/>
          <w:bCs/>
        </w:rPr>
        <w:t xml:space="preserve">huf.org</w:t>
      </w:r>
      <w:r>
        <w:t xml:space="preserve">. The standard, its reference implementations, audience-specific editions, and collective review record are publicly available under the MIT License. huf.org operates a tiered engagement model designed to serve organizations at whatever level of involvement serves their mission.</w:t>
      </w:r>
    </w:p>
    <w:p>
      <w:pPr>
        <w:spacing w:after="80"/>
      </w:pPr>
    </w:p>
    <w:p>
      <w:pPr>
        <w:spacing w:after="160"/>
      </w:pPr>
      <w:r>
        <w:rPr>
          <w:b/>
          <w:bCs/>
        </w:rPr>
        <w:t xml:space="preserve">Tier 1 — Reference. </w:t>
      </w:r>
      <w:r>
        <w:t xml:space="preserve">Any organization may reference the HUF standard freely. The complete mathematical corpus (27 formal results across 4 audience editions), monitoring protocols (MC-1 through MC-4), and open-source tooling are available at huf.org with no licensing requirements beyond MIT attribution.</w:t>
      </w:r>
    </w:p>
    <w:p>
      <w:pPr>
        <w:spacing w:after="160"/>
      </w:pPr>
      <w:r>
        <w:rPr>
          <w:b/>
          <w:bCs/>
        </w:rPr>
        <w:t xml:space="preserve">Tier 2 — Adoption. </w:t>
      </w:r>
      <w:r>
        <w:t xml:space="preserve">Organizations that formally adopt HUF methodology contribute validation data from their domain back to the repository, expanding the evidence base and earning citation in the collective review record. Adopters receive priority access to new editions and technical support from the huf.org development collective.</w:t>
      </w:r>
    </w:p>
    <w:p>
      <w:pPr>
        <w:spacing w:after="160"/>
      </w:pPr>
      <w:r>
        <w:rPr>
          <w:b/>
          <w:bCs/>
        </w:rPr>
        <w:t xml:space="preserve">Tier 3 — Stewardship. </w:t>
      </w:r>
      <w:r>
        <w:t xml:space="preserve">Organizations that join the huf.org Governance Council participate in the standard’s evolution: voting on amendments, proposing new audience editions, shaping the control stack (CL-01 through CL-05), and co-authoring the formal review trace. Stewards help determine what HUF becomes.</w:t>
      </w:r>
    </w:p>
    <w:p>
      <w:pPr>
        <w:spacing w:after="80"/>
      </w:pPr>
    </w:p>
    <w:p>
      <w:pPr>
        <w:pBdr>
          <w:left w:val="single" w:color="1A3A4A" w:sz="3" w:space="8"/>
        </w:pBdr>
        <w:spacing w:after="160"/>
        <w:ind w:left="720" w:right="720"/>
      </w:pPr>
      <w:r>
        <w:rPr>
          <w:i/>
          <w:iCs/>
          <w:color w:val="4A4A4A"/>
        </w:rPr>
        <w:t xml:space="preserve">huf.org invites engagement at whichever tier serves your mission. The standard exists to be used. Its governance exists to be shared.</w:t>
      </w:r>
    </w:p>
    <w:p>
      <w:pPr>
        <w:pStyle w:val="Heading2"/>
      </w:pPr>
      <w:r>
        <w:t xml:space="preserve">huf.org Resources</w:t>
      </w:r>
    </w:p>
    <w:p>
      <w:pPr>
        <w:pStyle w:val="ListParagraph"/>
        <w:numPr>
          <w:ilvl w:val="0"/>
          <w:numId w:val="2"/>
        </w:numPr>
        <w:spacing w:after="80"/>
      </w:pPr>
      <w:r>
        <w:rPr>
          <w:b/>
          <w:bCs/>
        </w:rPr>
        <w:t xml:space="preserve">Standard Repository: </w:t>
      </w:r>
      <w:r>
        <w:t xml:space="preserve">huf.org — complete corpus, all 4 audience editions, formal review trace</w:t>
      </w:r>
    </w:p>
    <w:p>
      <w:pPr>
        <w:pStyle w:val="ListParagraph"/>
        <w:numPr>
          <w:ilvl w:val="0"/>
          <w:numId w:val="2"/>
        </w:numPr>
        <w:spacing w:after="80"/>
      </w:pPr>
      <w:r>
        <w:rPr>
          <w:b/>
          <w:bCs/>
        </w:rPr>
        <w:t xml:space="preserve">Source Code: </w:t>
      </w:r>
      <w:r>
        <w:t xml:space="preserve">github.com/PeterHiggins19/huf_core — open-source implementations (MIT License)</w:t>
      </w:r>
    </w:p>
    <w:p>
      <w:pPr>
        <w:pStyle w:val="ListParagraph"/>
        <w:numPr>
          <w:ilvl w:val="0"/>
          <w:numId w:val="2"/>
        </w:numPr>
        <w:spacing w:after="80"/>
      </w:pPr>
      <w:r>
        <w:rPr>
          <w:b/>
          <w:bCs/>
        </w:rPr>
        <w:t xml:space="preserve">Documentation: </w:t>
      </w:r>
      <w:r>
        <w:t xml:space="preserve">huf.org/docs — developer manual, technical notes, wiki</w:t>
      </w:r>
    </w:p>
    <w:p>
      <w:pPr>
        <w:pStyle w:val="ListParagraph"/>
        <w:numPr>
          <w:ilvl w:val="0"/>
          <w:numId w:val="2"/>
        </w:numPr>
        <w:spacing w:after="80"/>
      </w:pPr>
      <w:r>
        <w:rPr>
          <w:b/>
          <w:bCs/>
        </w:rPr>
        <w:t xml:space="preserve">Collective Review Record: </w:t>
      </w:r>
      <w:r>
        <w:t xml:space="preserve">huf.org/review-trace — 27 multi-AI review documents, full provenance</w:t>
      </w:r>
    </w:p>
    <w:p>
      <w:pPr>
        <w:pStyle w:val="ListParagraph"/>
        <w:numPr>
          <w:ilvl w:val="0"/>
          <w:numId w:val="2"/>
        </w:numPr>
        <w:spacing w:after="80"/>
      </w:pPr>
      <w:r>
        <w:rPr>
          <w:b/>
          <w:bCs/>
        </w:rPr>
        <w:t xml:space="preserve">Audience Editions: </w:t>
      </w:r>
      <w:r>
        <w:t xml:space="preserve">Mathematician’s, Physics, Sciences, Engineering — same 27 results, domain-specific framing</w:t>
      </w:r>
    </w:p>
    <w:p>
      <w:pPr>
        <w:spacing w:after="80"/>
      </w:pPr>
    </w:p>
    <w:p>
      <w:pPr>
        <w:spacing w:after="160"/>
      </w:pPr>
      <w:r>
        <w:rPr>
          <w:i/>
          <w:iCs/>
        </w:rPr>
        <w:t xml:space="preserve">Contact: Peter Higgins — peter@huf.org · peterhiggins2016@gmail.com</w:t>
      </w:r>
    </w:p>
    <w:p>
      <w:pPr>
        <w:spacing w:after="80"/>
      </w:pPr>
    </w:p>
    <w:p>
      <w:pPr>
        <w:spacing w:after="160"/>
      </w:pPr>
      <w:r>
        <w:rPr>
          <w:i/>
          <w:iCs/>
        </w:rPr>
        <w:t xml:space="preserve">Prepared with AI-assisted drafting by the huf.org development collective (Claude, ChatGPT, Grok, Gemini, Copilot), reviewed and approved by Peter Higgins as principal author. All claims are stated conservatively and should be treated as hypotheses pending independent validation. The HUF standard has undergone 27 rounds of multi-AI collective review; human peer review is the designated next phase.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Georgia" w:cs="Georgia" w:eastAsia="Georgia" w:hAnsi="Georgia"/>
        <w:color w:val="888888"/>
        <w:sz w:val="16"/>
        <w:szCs w:val="16"/>
      </w:rPr>
      <w:t xml:space="preserve">huf.org  ·  MIT License  ·  Page </w:t>
    </w:r>
    <w:r>
      <w:rPr>
        <w:rFonts w:ascii="Georgia" w:cs="Georgia" w:eastAsia="Georgia" w:hAnsi="Georgia"/>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A4A" w:sz="2" w:space="4"/>
      </w:pBdr>
      <w:spacing w:after="0"/>
      <w:jc w:val="left"/>
    </w:pPr>
    <w:r>
      <w:rPr>
        <w:rFonts w:ascii="Georgia" w:cs="Georgia" w:eastAsia="Georgia" w:hAnsi="Georgia"/>
        <w:b/>
        <w:bCs/>
        <w:color w:val="1A3A4A"/>
        <w:sz w:val="18"/>
        <w:szCs w:val="18"/>
      </w:rPr>
      <w:t xml:space="preserve">huf.org</w:t>
    </w:r>
    <w:r>
      <w:rPr>
        <w:rFonts w:ascii="Georgia" w:cs="Georgia" w:eastAsia="Georgia" w:hAnsi="Georgia"/>
        <w:color w:val="6A8A9A"/>
        <w:sz w:val="16"/>
        <w:szCs w:val="16"/>
      </w:rPr>
      <w:t xml:space="preserve">  —  Higgins Unity Framework  —  Open Governance Standard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D2D2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1A3A4A"/>
      <w:sz w:val="32"/>
      <w:szCs w:val="32"/>
    </w:rPr>
  </w:style>
  <w:style w:type="paragraph" w:styleId="Heading2">
    <w:name w:val="Heading 2"/>
    <w:basedOn w:val="Normal"/>
    <w:next w:val="Normal"/>
    <w:qFormat/>
    <w:pPr>
      <w:spacing w:after="160" w:before="280"/>
      <w:outlineLvl w:val="1"/>
    </w:pPr>
    <w:rPr>
      <w:rFonts w:ascii="Georgia" w:cs="Georgia" w:eastAsia="Georgia" w:hAnsi="Georgia"/>
      <w:b/>
      <w:bCs/>
      <w:color w:val="2A5A6A"/>
      <w:sz w:val="26"/>
      <w:szCs w:val="26"/>
    </w:rPr>
  </w:style>
  <w:style w:type="paragraph" w:styleId="Heading3">
    <w:name w:val="Heading 3"/>
    <w:basedOn w:val="Normal"/>
    <w:next w:val="Normal"/>
    <w:qFormat/>
    <w:pPr>
      <w:spacing w:after="120" w:before="200"/>
      <w:outlineLvl w:val="2"/>
    </w:pPr>
    <w:rPr>
      <w:rFonts w:ascii="Georgia" w:cs="Georgia" w:eastAsia="Georgia" w:hAnsi="Georgia"/>
      <w:b/>
      <w:bCs/>
      <w:color w:val="3A6A7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2026-03-17T15:19:32.240Z</dcterms:created>
  <dcterms:modified xsi:type="dcterms:W3CDTF">2026-03-17T15:19:32.240Z</dcterms:modified>
</cp:coreProperties>
</file>

<file path=docProps/custom.xml><?xml version="1.0" encoding="utf-8"?>
<Properties xmlns="http://schemas.openxmlformats.org/officeDocument/2006/custom-properties" xmlns:vt="http://schemas.openxmlformats.org/officeDocument/2006/docPropsVTypes"/>
</file>