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HUF.DRAFT.PARTNER.PAGE.CBD_SUBMISSION | HUF:1.1.8 | DOC:v1.0 | STATUS:draft | LANE:DRAFT | RO:Peter Higgins</w:t>
      </w:r>
    </w:p>
    <w:p>
      <w:pPr>
        <w:spacing w:after="0" w:before="0"/>
      </w:pPr>
      <w:r>
        <w:rPr>
          <w:rFonts w:ascii="Courier New" w:hAnsi="Courier New"/>
          <w:color w:val="666666"/>
          <w:sz w:val="15"/>
        </w:rPr>
        <w:t>CODES: huf, CBD, Kunming-Montreal, GBF, SBSTTA, indicator, MC-4 | ART: CM, AS, TR, EB | EVID:E2 | POSTURE: OP | WEIGHTS: OP=0.80 TOOL=0.15 PEER=0.05 | CAP: OP_MIN=0.51 TOOL_MAX=0.49 | CANON:notes/current_documents/staged/HUF.DRAFT.PARTNER.PAGE.CBD_SUBMISSION/</w:t>
      </w:r>
    </w:p>
    <w:p>
      <w:pPr>
        <w:spacing w:after="80"/>
      </w:pPr>
    </w:p>
    <w:p>
      <w:pPr>
        <w:spacing w:after="480"/>
      </w:pPr>
    </w:p>
    <w:p>
      <w:pPr>
        <w:spacing w:after="120"/>
        <w:jc w:val="left"/>
      </w:pPr>
      <w:r>
        <w:rPr>
          <w:b/>
          <w:color w:val="1F3964"/>
          <w:sz w:val="40"/>
        </w:rPr>
        <w:t>Submission to the Convention on Biological Diversity</w:t>
        <w:br/>
        <w:t>HUF Portfolio Share as a Kunming-Montreal GBF Governance Indicator</w:t>
      </w:r>
    </w:p>
    <w:p>
      <w:pPr>
        <w:spacing w:after="480"/>
      </w:pPr>
      <w:r>
        <w:rPr>
          <w:i/>
          <w:color w:val="1F7A8C"/>
          <w:sz w:val="26"/>
        </w:rPr>
        <w:t>Submission to CBD SBSTTA / COP16 indicator development process</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Secretariat of the Convention on Biological Diversity (CBD)</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Technical Submission — Indicator Development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CBD SBSTTA 25 / COP16 — Kunming-Montreal GBF Indicator Framework</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Preamble</w:t>
      </w:r>
    </w:p>
    <w:p>
      <w:pPr>
        <w:spacing w:after="120"/>
      </w:pPr>
      <w:r>
        <w:t>The Higgins Unity Framework (HUF) research collective respectfully submits this technical paper to the Secretariat of the Convention on Biological Diversity for consideration in the development of indicators for the Kunming-Montreal Global Biodiversity Framework (GBF). Specifically, we propose the HUF Portfolio Share (ρ) and its associated Composition Monitoring protocol (MC-4) as a governance-layer indicator addressing GBF Target 3 ('30x30') effective management requirements.</w:t>
      </w:r>
    </w:p>
    <w:p>
      <w:pPr>
        <w:pStyle w:val="Heading1"/>
        <w:spacing w:before="360" w:after="120"/>
      </w:pPr>
      <w:r>
        <w:rPr>
          <w:color w:val="1F3964"/>
          <w:sz w:val="30"/>
        </w:rPr>
        <w:t>1. Alignment with the Kunming-Montreal GBF</w:t>
      </w:r>
    </w:p>
    <w:p>
      <w:pPr>
        <w:pStyle w:val="Heading2"/>
        <w:spacing w:before="240" w:after="80"/>
      </w:pPr>
      <w:r>
        <w:rPr>
          <w:color w:val="1F7A8C"/>
          <w:sz w:val="26"/>
        </w:rPr>
        <w:t>1.1 Target 3 — Effective conservation and management</w:t>
      </w:r>
    </w:p>
    <w:p>
      <w:pPr>
        <w:spacing w:after="120"/>
      </w:pPr>
      <w:r>
        <w:t>GBF Target 3 requires that by 2030, at least 30% of terrestrial, inland water, and coastal and marine areas are effectively conserved and managed through ecologically representative, well-connected and equitably governed systems. The critical term is 'effectively managed.' The GBF does not currently specify an operational definition or standardised measurement methodology for management effectiveness at the level of governance intent — as distinct from ecological outcome.</w:t>
      </w:r>
    </w:p>
    <w:p>
      <w:pPr>
        <w:spacing w:after="120"/>
      </w:pPr>
      <w:r>
        <w:t>HUF-ρ provides this definition: a protected area is effectively managed if (a) management resource allocation is explicitly declared as a portfolio composition, (b) the trajectory of that composition is tracked using the MC-4 protocol, and (c) the proportion of unintended (silent) drift events is below a specified threshold. This is a governance indicator, not an ecological state indicator, and it complements rather than replaces existing ecological monitoring frameworks.</w:t>
      </w:r>
    </w:p>
    <w:p>
      <w:pPr>
        <w:pStyle w:val="Heading2"/>
        <w:spacing w:before="240" w:after="80"/>
      </w:pPr>
      <w:r>
        <w:rPr>
          <w:color w:val="1F7A8C"/>
          <w:sz w:val="26"/>
        </w:rPr>
        <w:t>1.2 Alignment with other GBF targets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GBF Target</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HUF-ρ Contribution</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Key mechanism</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3 (30x30)</w:t>
            </w:r>
          </w:p>
        </w:tc>
        <w:tc>
          <w:tcPr>
            <w:tcW w:type="dxa" w:w="2880"/>
            <w:tcBorders>
              <w:top w:val="single" w:sz="4" w:space="0" w:color="CCCCCC"/>
              <w:left w:val="single" w:sz="4" w:space="0" w:color="CCCCCC"/>
              <w:bottom w:val="single" w:sz="4" w:space="0" w:color="CCCCCC"/>
              <w:right w:val="single" w:sz="4" w:space="0" w:color="CCCCCC"/>
            </w:tcBorders>
          </w:tcPr>
          <w:p>
            <w:r>
              <w:t>Operationalises 'effective management'</w:t>
            </w:r>
          </w:p>
        </w:tc>
        <w:tc>
          <w:tcPr>
            <w:tcW w:type="dxa" w:w="2880"/>
            <w:tcBorders>
              <w:top w:val="single" w:sz="4" w:space="0" w:color="CCCCCC"/>
              <w:left w:val="single" w:sz="4" w:space="0" w:color="CCCCCC"/>
              <w:bottom w:val="single" w:sz="4" w:space="0" w:color="CCCCCC"/>
              <w:right w:val="single" w:sz="4" w:space="0" w:color="CCCCCC"/>
            </w:tcBorders>
          </w:tcPr>
          <w:p>
            <w:r>
              <w:t>MC-4 governance-layer monitoring</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1 (Spatial planning)</w:t>
            </w:r>
          </w:p>
        </w:tc>
        <w:tc>
          <w:tcPr>
            <w:tcW w:type="dxa" w:w="2880"/>
            <w:tcBorders>
              <w:top w:val="single" w:sz="4" w:space="0" w:color="CCCCCC"/>
              <w:left w:val="single" w:sz="4" w:space="0" w:color="CCCCCC"/>
              <w:bottom w:val="single" w:sz="4" w:space="0" w:color="CCCCCC"/>
              <w:right w:val="single" w:sz="4" w:space="0" w:color="CCCCCC"/>
            </w:tcBorders>
          </w:tcPr>
          <w:p>
            <w:r>
              <w:t>Tracks spatial allocation portfolio shares</w:t>
            </w:r>
          </w:p>
        </w:tc>
        <w:tc>
          <w:tcPr>
            <w:tcW w:type="dxa" w:w="2880"/>
            <w:tcBorders>
              <w:top w:val="single" w:sz="4" w:space="0" w:color="CCCCCC"/>
              <w:left w:val="single" w:sz="4" w:space="0" w:color="CCCCCC"/>
              <w:bottom w:val="single" w:sz="4" w:space="0" w:color="CCCCCC"/>
              <w:right w:val="single" w:sz="4" w:space="0" w:color="CCCCCC"/>
            </w:tcBorders>
          </w:tcPr>
          <w:p>
            <w:r>
              <w:t>HUF-ρ for habitat zone portfolios</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19 (Finance)</w:t>
            </w:r>
          </w:p>
        </w:tc>
        <w:tc>
          <w:tcPr>
            <w:tcW w:type="dxa" w:w="2880"/>
            <w:tcBorders>
              <w:top w:val="single" w:sz="4" w:space="0" w:color="CCCCCC"/>
              <w:left w:val="single" w:sz="4" w:space="0" w:color="CCCCCC"/>
              <w:bottom w:val="single" w:sz="4" w:space="0" w:color="CCCCCC"/>
              <w:right w:val="single" w:sz="4" w:space="0" w:color="CCCCCC"/>
            </w:tcBorders>
          </w:tcPr>
          <w:p>
            <w:r>
              <w:t>Tracks financial portfolio allocation governance</w:t>
            </w:r>
          </w:p>
        </w:tc>
        <w:tc>
          <w:tcPr>
            <w:tcW w:type="dxa" w:w="2880"/>
            <w:tcBorders>
              <w:top w:val="single" w:sz="4" w:space="0" w:color="CCCCCC"/>
              <w:left w:val="single" w:sz="4" w:space="0" w:color="CCCCCC"/>
              <w:bottom w:val="single" w:sz="4" w:space="0" w:color="CCCCCC"/>
              <w:right w:val="single" w:sz="4" w:space="0" w:color="CCCCCC"/>
            </w:tcBorders>
          </w:tcPr>
          <w:p>
            <w:r>
              <w:t>HUF-ρ for conservation finance</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21 (Data)</w:t>
            </w:r>
          </w:p>
        </w:tc>
        <w:tc>
          <w:tcPr>
            <w:tcW w:type="dxa" w:w="2880"/>
            <w:tcBorders>
              <w:top w:val="single" w:sz="4" w:space="0" w:color="CCCCCC"/>
              <w:left w:val="single" w:sz="4" w:space="0" w:color="CCCCCC"/>
              <w:bottom w:val="single" w:sz="4" w:space="0" w:color="CCCCCC"/>
              <w:right w:val="single" w:sz="4" w:space="0" w:color="CCCCCC"/>
            </w:tcBorders>
          </w:tcPr>
          <w:p>
            <w:r>
              <w:t>Provides standardised governance data</w:t>
            </w:r>
          </w:p>
        </w:tc>
        <w:tc>
          <w:tcPr>
            <w:tcW w:type="dxa" w:w="2880"/>
            <w:tcBorders>
              <w:top w:val="single" w:sz="4" w:space="0" w:color="CCCCCC"/>
              <w:left w:val="single" w:sz="4" w:space="0" w:color="CCCCCC"/>
              <w:bottom w:val="single" w:sz="4" w:space="0" w:color="CCCCCC"/>
              <w:right w:val="single" w:sz="4" w:space="0" w:color="CCCCCC"/>
            </w:tcBorders>
          </w:tcPr>
          <w:p>
            <w:r>
              <w:t>MC-4 monitoring records as open data</w:t>
            </w:r>
          </w:p>
        </w:tc>
      </w:tr>
    </w:tbl>
    <w:p>
      <w:pPr>
        <w:spacing w:after="160"/>
      </w:pPr>
    </w:p>
    <w:p>
      <w:pPr>
        <w:pStyle w:val="Heading1"/>
        <w:spacing w:before="360" w:after="120"/>
      </w:pPr>
      <w:r>
        <w:rPr>
          <w:color w:val="1F3964"/>
          <w:sz w:val="30"/>
        </w:rPr>
        <w:t>2. The HUF Portfolio Share Indicator</w:t>
      </w:r>
    </w:p>
    <w:p>
      <w:pPr>
        <w:pStyle w:val="Heading2"/>
        <w:spacing w:before="240" w:after="80"/>
      </w:pPr>
      <w:r>
        <w:rPr>
          <w:color w:val="1F7A8C"/>
          <w:sz w:val="26"/>
        </w:rPr>
        <w:t>2.1 Indicator name and class</w:t>
      </w:r>
    </w:p>
    <w:p>
      <w:pPr>
        <w:spacing w:after="120"/>
      </w:pPr>
      <w:r>
        <w:t>Name: Managed Biodiversity Portfolio Share (HUF-ρ). Class: governance indicator (management effectiveness, allocation fidelity). Complementary class in GEO BON: EBV candidate — Ecosystem function / Habitat.</w:t>
      </w:r>
    </w:p>
    <w:p>
      <w:pPr>
        <w:pStyle w:val="Heading2"/>
        <w:spacing w:before="240" w:after="80"/>
      </w:pPr>
      <w:r>
        <w:rPr>
          <w:color w:val="1F7A8C"/>
          <w:sz w:val="26"/>
        </w:rPr>
        <w:t>2.2 Technical specification</w:t>
      </w:r>
    </w:p>
    <w:p>
      <w:pPr>
        <w:spacing w:after="120"/>
      </w:pPr>
      <w:r>
        <w:t>For a managed protected area with k designated management zones {e₁ … eₖ}, portfolio share ρᵢ(t) = aᵢ(t) / Σⱼ aⱼ(t), where aᵢ(t) is the governance-declared management allocation for period t. The indicator satisfies Σρᵢ = 1.</w:t>
      </w:r>
    </w:p>
    <w:p>
      <w:pPr>
        <w:spacing w:after="120"/>
      </w:pPr>
      <w:r>
        <w:t>The associated monitoring metric is the Mean Drift Gap (MDG): the mean absolute period-on-period change in portfolio shares. MDG &lt; δ (governance threshold) indicates management allocation stability; MDG &gt; δ triggers provenance review.</w:t>
      </w:r>
    </w:p>
    <w:p>
      <w:pPr>
        <w:pStyle w:val="Heading2"/>
        <w:spacing w:before="240" w:after="80"/>
      </w:pPr>
      <w:r>
        <w:rPr>
          <w:color w:val="1F7A8C"/>
          <w:sz w:val="26"/>
        </w:rPr>
        <w:t>2.3 Aggregate national reporting</w:t>
      </w:r>
    </w:p>
    <w:p>
      <w:pPr>
        <w:spacing w:after="120"/>
      </w:pPr>
      <w:r>
        <w:t>At national scale, the indicator aggregates as the proportion of protected areas in a Contracting Party that meet the MC-4 protocol requirements — i.e., have declared portfolio compositions, track MDG against a threshold, and maintain provenance logs for reweighting events. This is a binary readiness indicator at site level, aggregating to a proportion at national level.</w:t>
      </w:r>
    </w:p>
    <w:p>
      <w:pPr>
        <w:pStyle w:val="Heading1"/>
        <w:spacing w:before="360" w:after="120"/>
      </w:pPr>
      <w:r>
        <w:rPr>
          <w:color w:val="1F3964"/>
          <w:sz w:val="30"/>
        </w:rPr>
        <w:t>3. Proposed Indicator Framework</w:t>
      </w:r>
    </w:p>
    <w:p>
      <w:pPr>
        <w:pStyle w:val="Heading2"/>
        <w:spacing w:before="240" w:after="80"/>
      </w:pPr>
      <w:r>
        <w:rPr>
          <w:color w:val="1F7A8C"/>
          <w:sz w:val="26"/>
        </w:rPr>
        <w:t>3.1 Tier classification</w:t>
      </w:r>
    </w:p>
    <w:p>
      <w:pPr>
        <w:spacing w:after="120"/>
      </w:pPr>
      <w:r>
        <w:t>We propose HUF-ρ as a Tier I/II indicator in the GBF framework:</w:t>
      </w:r>
    </w:p>
    <w:p>
      <w:pPr>
        <w:pStyle w:val="ListBullet"/>
        <w:spacing w:after="60"/>
      </w:pPr>
      <w:r>
        <w:t>Tier I: clearly defined, established methodology. Tier I status appropriate following multi-site validation (target 2027).</w:t>
      </w:r>
    </w:p>
    <w:p>
      <w:pPr>
        <w:pStyle w:val="ListBullet"/>
        <w:spacing w:after="60"/>
      </w:pPr>
      <w:r>
        <w:t>Current status: Tier II candidate — methodology established (HUF v1.1.8), pilot evidence available (Croatia Ramsar 2026), multi-site validation in design.</w:t>
      </w:r>
    </w:p>
    <w:p>
      <w:pPr>
        <w:pStyle w:val="Heading2"/>
        <w:spacing w:before="240" w:after="80"/>
      </w:pPr>
      <w:r>
        <w:rPr>
          <w:color w:val="1F7A8C"/>
          <w:sz w:val="26"/>
        </w:rPr>
        <w:t>3.2 Metadata standard</w:t>
      </w:r>
    </w:p>
    <w:p>
      <w:pPr>
        <w:spacing w:after="120"/>
      </w:pPr>
      <w:r>
        <w:t>The indicator will be reported against the GBF metadata standard: indicator name, operational definition, unit of measure, data source, methodology reference, coverage (spatial, temporal, taxonomic/sectoral), custodian, and frequency of update. Proposed custodian: GEO BON (with Ramsar Secretariat co-custodian for wetland sites).</w:t>
      </w:r>
    </w:p>
    <w:p>
      <w:pPr>
        <w:pStyle w:val="Heading2"/>
        <w:spacing w:before="240" w:after="80"/>
      </w:pPr>
      <w:r>
        <w:rPr>
          <w:color w:val="1F7A8C"/>
          <w:sz w:val="26"/>
        </w:rPr>
        <w:t>3.3 Data availability</w:t>
      </w:r>
    </w:p>
    <w:p>
      <w:pPr>
        <w:spacing w:after="120"/>
      </w:pPr>
      <w:r>
        <w:t>Baseline data are available immediately for Ramsar sites with published management plans (covering approximately 1,800 of 2,465 sites). Management plan archives held by national focal points can be used for retrospective computation without additional data collection. For sites lacking management plans, the indicator simultaneously incentivises management plan development as a prerequisite for compliance.</w:t>
      </w:r>
    </w:p>
    <w:p>
      <w:pPr>
        <w:pStyle w:val="Heading1"/>
        <w:spacing w:before="360" w:after="120"/>
      </w:pPr>
      <w:r>
        <w:rPr>
          <w:color w:val="1F3964"/>
          <w:sz w:val="30"/>
        </w:rPr>
        <w:t>4. Implementation Guidance</w:t>
      </w:r>
    </w:p>
    <w:p>
      <w:pPr>
        <w:pStyle w:val="Heading2"/>
        <w:spacing w:before="240" w:after="80"/>
      </w:pPr>
      <w:r>
        <w:rPr>
          <w:color w:val="1F7A8C"/>
          <w:sz w:val="26"/>
        </w:rPr>
        <w:t>4.1 For Contracting Parties</w:t>
      </w:r>
    </w:p>
    <w:p>
      <w:pPr>
        <w:pStyle w:val="ListBullet"/>
        <w:spacing w:after="60"/>
      </w:pPr>
      <w:r>
        <w:t>Identify all Ramsar-designated protected areas within national jurisdiction.</w:t>
      </w:r>
    </w:p>
    <w:p>
      <w:pPr>
        <w:pStyle w:val="ListBullet"/>
        <w:spacing w:after="60"/>
      </w:pPr>
      <w:r>
        <w:t>For each site, extract management allocation records from current management plan.</w:t>
      </w:r>
    </w:p>
    <w:p>
      <w:pPr>
        <w:pStyle w:val="ListBullet"/>
        <w:spacing w:after="60"/>
      </w:pPr>
      <w:r>
        <w:t>Compute initial portfolio shares ρᵢ(0) for each designated habitat zone.</w:t>
      </w:r>
    </w:p>
    <w:p>
      <w:pPr>
        <w:pStyle w:val="ListBullet"/>
        <w:spacing w:after="60"/>
      </w:pPr>
      <w:r>
        <w:t>Apply MC-4 monitoring at each subsequent management planning cycle.</w:t>
      </w:r>
    </w:p>
    <w:p>
      <w:pPr>
        <w:pStyle w:val="ListBullet"/>
        <w:spacing w:after="60"/>
      </w:pPr>
      <w:r>
        <w:t>Report MDG trajectory and intentional/silent event ratio to national CBD focal point.</w:t>
      </w:r>
    </w:p>
    <w:p>
      <w:pPr>
        <w:pStyle w:val="Heading2"/>
        <w:spacing w:before="240" w:after="80"/>
      </w:pPr>
      <w:r>
        <w:rPr>
          <w:color w:val="1F7A8C"/>
          <w:sz w:val="26"/>
        </w:rPr>
        <w:t>4.2 For the CBD Secretariat</w:t>
      </w:r>
    </w:p>
    <w:p>
      <w:pPr>
        <w:pStyle w:val="ListBullet"/>
        <w:spacing w:after="60"/>
      </w:pPr>
      <w:r>
        <w:t>Include HUF-ρ in the SBSTTA technical review of GBF indicator candidates.</w:t>
      </w:r>
    </w:p>
    <w:p>
      <w:pPr>
        <w:pStyle w:val="ListBullet"/>
        <w:spacing w:after="60"/>
      </w:pPr>
      <w:r>
        <w:t>Commission a technical review of the HUF mathematical foundations and pilot evidence.</w:t>
      </w:r>
    </w:p>
    <w:p>
      <w:pPr>
        <w:pStyle w:val="ListBullet"/>
        <w:spacing w:after="60"/>
      </w:pPr>
      <w:r>
        <w:t>Facilitate a pilot programme with three to five Contracting Parties representing diverse biogeographic contexts.</w:t>
      </w:r>
    </w:p>
    <w:p>
      <w:pPr>
        <w:pStyle w:val="ListBullet"/>
        <w:spacing w:after="60"/>
      </w:pPr>
      <w:r>
        <w:t>Coordinate with Ramsar Technical Committee on methodology harmonisation.</w:t>
      </w:r>
    </w:p>
    <w:p>
      <w:pPr>
        <w:pStyle w:val="Heading1"/>
        <w:spacing w:before="360" w:after="120"/>
      </w:pPr>
      <w:r>
        <w:rPr>
          <w:color w:val="1F3964"/>
          <w:sz w:val="30"/>
        </w:rPr>
        <w:t>5. Requested Actions</w:t>
      </w:r>
    </w:p>
    <w:p>
      <w:pPr>
        <w:spacing w:after="120"/>
      </w:pPr>
      <w:r>
        <w:t>We respectfully request that the CBD Secretariat:</w:t>
      </w:r>
    </w:p>
    <w:p>
      <w:pPr>
        <w:pStyle w:val="ListBullet"/>
        <w:spacing w:after="60"/>
      </w:pPr>
      <w:r>
        <w:t>Acknowledge receipt of this submission and assign it to the appropriate SBSTTA working group.</w:t>
      </w:r>
    </w:p>
    <w:p>
      <w:pPr>
        <w:pStyle w:val="ListBullet"/>
        <w:spacing w:after="60"/>
      </w:pPr>
      <w:r>
        <w:t>Include HUF-ρ in the compilation of indicator candidates for SBSTTA 25 / COP16 review.</w:t>
      </w:r>
    </w:p>
    <w:p>
      <w:pPr>
        <w:pStyle w:val="ListBullet"/>
        <w:spacing w:after="60"/>
      </w:pPr>
      <w:r>
        <w:t>Arrange a technical briefing with the HUF research team at a mutually convenient date prior to SBSTTA 25.</w:t>
      </w:r>
    </w:p>
    <w:p>
      <w:pPr>
        <w:pStyle w:val="ListBullet"/>
        <w:spacing w:after="60"/>
      </w:pPr>
      <w:r>
        <w:t>Forward this submission to the GEO BON Secretariat and the Ramsar Technical Committee for coordinated review.</w:t>
      </w:r>
    </w:p>
    <w:p>
      <w:pPr>
        <w:pStyle w:val="Heading1"/>
        <w:spacing w:before="360" w:after="120"/>
      </w:pPr>
      <w:r>
        <w:rPr>
          <w:color w:val="1F3964"/>
          <w:sz w:val="30"/>
        </w:rPr>
        <w:t>6. Contact</w:t>
      </w:r>
    </w:p>
    <w:p>
      <w:pPr>
        <w:spacing w:after="120"/>
      </w:pPr>
      <w:r>
        <w:t>Peter Higgins | peterhiggins2016@gmail.com | Higgins Unity Framework Project</w:t>
      </w:r>
    </w:p>
    <w:p>
      <w:pPr>
        <w:spacing w:after="120"/>
      </w:pPr>
      <w:r>
        <w:t>Full technical documentation (HUF Complete Reference, Croatia Pilot Package, mathematical foundations)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