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HUF.DRAFT.PARTNER.MANUSCRIPT.IFAC_IEEE_CONTROL_PAPER | HUF:1.1.8 | DOC:v1.0 | STATUS:draft | LANE:DRAFT | RO:Peter Higgins</w:t>
      </w:r>
    </w:p>
    <w:p>
      <w:pPr>
        <w:spacing w:after="0" w:before="0"/>
      </w:pPr>
      <w:r>
        <w:rPr>
          <w:rFonts w:ascii="Courier New" w:hAnsi="Courier New"/>
          <w:color w:val="666666"/>
          <w:sz w:val="15"/>
        </w:rPr>
        <w:t>CODES: huf, IFAC, IEEE, control systems, state observer, MC-4, simplex | ART: CM, AS, TR, EB | EVID:E3 | POSTURE: THM | WEIGHTS: OP=0.80 TOOL=0.15 PEER=0.05 | CAP: OP_MIN=0.51 TOOL_MAX=0.49 | CANON:notes/current_documents/staged/HUF.DRAFT.PARTNER.MANUSCRIPT.IFAC_IEEE_CONTROL_PAPER/</w:t>
      </w:r>
    </w:p>
    <w:p>
      <w:pPr>
        <w:spacing w:after="80"/>
      </w:pPr>
    </w:p>
    <w:p>
      <w:pPr>
        <w:spacing w:after="480"/>
      </w:pPr>
    </w:p>
    <w:p>
      <w:pPr>
        <w:spacing w:after="120"/>
        <w:jc w:val="left"/>
      </w:pPr>
      <w:r>
        <w:rPr>
          <w:b/>
          <w:color w:val="1F3964"/>
          <w:sz w:val="40"/>
        </w:rPr>
        <w:t>Zero-Instrument State Estimation via Unity Constraint:</w:t>
        <w:br/>
        <w:t>MC-4 as a Degenerate Observer for Simplex-State Systems</w:t>
      </w:r>
    </w:p>
    <w:p>
      <w:pPr>
        <w:spacing w:after="480"/>
      </w:pPr>
      <w:r>
        <w:rPr>
          <w:i/>
          <w:color w:val="1F7A8C"/>
          <w:sz w:val="26"/>
        </w:rPr>
        <w:t>A candidate paper for IFAC / IEEE Transactions on Automatic Control</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IFAC — International Federation of Automatic Control / IEEE Control Systems Society</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Technical Research Paper</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IEEE Transactions on Automatic Control / IFAC Automatica</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Abstract</w:t>
      </w:r>
    </w:p>
    <w:p>
      <w:pPr>
        <w:spacing w:after="120"/>
      </w:pPr>
      <w:r>
        <w:t>We introduce the MC-4 Ratio State Observer — a degenerate state estimator for dynamical systems whose state space is the open simplex Sᴷ. Unlike conventional observers that reconstruct state from external measurements, the MC-4 observer exploits the unity constraint (Σᵢ xᵢ = 1) as the sole state equation: the declared allocation vector is simultaneously the state, the output, and the governance signal. We formalise this structure, prove convergence of the drift detection statistic under a Dirichlet process null model, and demonstrate stability of the closed-loop governance system under the HUF operator control contract (operator weight floor 0.51). Two application domains are presented: managed biodiversity portfolios (Ramsar wetland sites) and finite-resource manufacturing scheduling (PCB assembly line management). The result is a formally grounded, computationally trivial, and practically significant extension of observer theory to the simplex state space.</w:t>
      </w:r>
    </w:p>
    <w:p>
      <w:pPr>
        <w:spacing w:after="120"/>
      </w:pPr>
      <w:r>
        <w:rPr>
          <w:i/>
          <w:color w:val="666666"/>
        </w:rPr>
        <w:t>Index Terms: state estimation, simplex constraint, compositional systems, observer design, governance theory, portfolio control, biodiversity monitoring</w:t>
      </w:r>
    </w:p>
    <w:p>
      <w:pPr>
        <w:pStyle w:val="Heading1"/>
        <w:spacing w:before="360" w:after="120"/>
      </w:pPr>
      <w:r>
        <w:rPr>
          <w:color w:val="1F3964"/>
          <w:sz w:val="30"/>
        </w:rPr>
        <w:t>1. Introduction</w:t>
      </w:r>
    </w:p>
    <w:p>
      <w:pPr>
        <w:spacing w:after="120"/>
      </w:pPr>
      <w:r>
        <w:t>Classical observer theory, from the Luenberger observer (1964) to the Kalman filter (1960), constructs state estimates from output measurements, with estimation error driven to zero by feedback. For systems with continuous or discrete Euclidean state spaces, this framework is well-understood. However, a significant class of practical systems has a state space that is not Euclidean but compositional: the state is a vector of proportions summing to unity, lying on the open simplex Sᴷ.</w:t>
      </w:r>
    </w:p>
    <w:p>
      <w:pPr>
        <w:spacing w:after="120"/>
      </w:pPr>
      <w:r>
        <w:t>Examples include: species population shares in a managed ecosystem; budget allocation across competing programs; machine-time shares across manufacturing operations; inventory allocation across distribution nodes. In each case, the constraint Σᵢ xᵢ = 1 is not a measurement — it is a structural property of the system, satisfied exactly by construction at every time step.</w:t>
      </w:r>
    </w:p>
    <w:p>
      <w:pPr>
        <w:spacing w:after="120"/>
      </w:pPr>
      <w:r>
        <w:t>This paper exploits this structure. We present the MC-4 Ratio State Observer, derived from the Higgins Unity Framework (HUF), which achieves exact state reconstruction at zero instrument cost by reading the constraint directly. The key contributions are:</w:t>
      </w:r>
    </w:p>
    <w:p>
      <w:pPr>
        <w:pStyle w:val="ListBullet"/>
        <w:spacing w:after="60"/>
      </w:pPr>
      <w:r>
        <w:t>Formal definition of the simplex-state system class and the degenerate observer that serves it.</w:t>
      </w:r>
    </w:p>
    <w:p>
      <w:pPr>
        <w:pStyle w:val="ListBullet"/>
        <w:spacing w:after="60"/>
      </w:pPr>
      <w:r>
        <w:t>Drift detection statistics derived from the Aitchison simplex distance with principled significance thresholds.</w:t>
      </w:r>
    </w:p>
    <w:p>
      <w:pPr>
        <w:pStyle w:val="ListBullet"/>
        <w:spacing w:after="60"/>
      </w:pPr>
      <w:r>
        <w:t>Closed-loop stability analysis for the HUF governance feedback law under the operator control contract.</w:t>
      </w:r>
    </w:p>
    <w:p>
      <w:pPr>
        <w:pStyle w:val="ListBullet"/>
        <w:spacing w:after="60"/>
      </w:pPr>
      <w:r>
        <w:t>Empirical validation in two domains.</w:t>
      </w:r>
    </w:p>
    <w:p>
      <w:pPr>
        <w:pStyle w:val="Heading1"/>
        <w:spacing w:before="360" w:after="120"/>
      </w:pPr>
      <w:r>
        <w:rPr>
          <w:color w:val="1F3964"/>
          <w:sz w:val="30"/>
        </w:rPr>
        <w:t>2. System Formulation</w:t>
      </w:r>
    </w:p>
    <w:p>
      <w:pPr>
        <w:pStyle w:val="Heading2"/>
        <w:spacing w:before="240" w:after="80"/>
      </w:pPr>
      <w:r>
        <w:rPr>
          <w:color w:val="1F7A8C"/>
          <w:sz w:val="26"/>
        </w:rPr>
        <w:t>2.1 Simplex-state system</w:t>
      </w:r>
    </w:p>
    <w:p>
      <w:pPr>
        <w:spacing w:after="120"/>
      </w:pPr>
      <w:r>
        <w:t>Define a simplex-state discrete-time system as the tuple (E, ρ, T, φ) where:</w:t>
      </w:r>
    </w:p>
    <w:p>
      <w:pPr>
        <w:pStyle w:val="ListBullet"/>
        <w:spacing w:after="60"/>
      </w:pPr>
      <w:r>
        <w:t>E = {e₁, …, eₖ} is the finite entity set.</w:t>
      </w:r>
    </w:p>
    <w:p>
      <w:pPr>
        <w:pStyle w:val="ListBullet"/>
        <w:spacing w:after="60"/>
      </w:pPr>
      <w:r>
        <w:t>ρ(t) ∈ Sᴷ = {x ∈ ℝᵏ : Σxᵢ = 1, xᵢ &gt; 0} is the state vector at time t.</w:t>
      </w:r>
    </w:p>
    <w:p>
      <w:pPr>
        <w:pStyle w:val="ListBullet"/>
        <w:spacing w:after="60"/>
      </w:pPr>
      <w:r>
        <w:t>T ⊆ ℤ⁺ is the governance timeline (finite set of decision epochs).</w:t>
      </w:r>
    </w:p>
    <w:p>
      <w:pPr>
        <w:pStyle w:val="ListBullet"/>
        <w:spacing w:after="60"/>
      </w:pPr>
      <w:r>
        <w:t>φ : Sᴷ × U → Sᴷ is the state transition function, where U is the operator action space.</w:t>
      </w:r>
    </w:p>
    <w:p>
      <w:pPr>
        <w:spacing w:after="120"/>
      </w:pPr>
      <w:r>
        <w:t>The unity constraint Σᵢ ρᵢ(t) = 1 is an invariant: it holds at t₀ by initialisation and is preserved by any state transition that is a perturbation on Sᴷ in the Aitchison sense.</w:t>
      </w:r>
    </w:p>
    <w:p>
      <w:pPr>
        <w:pStyle w:val="Heading2"/>
        <w:spacing w:before="240" w:after="80"/>
      </w:pPr>
      <w:r>
        <w:rPr>
          <w:color w:val="1F7A8C"/>
          <w:sz w:val="26"/>
        </w:rPr>
        <w:t>2.2 The degenerate observer</w:t>
      </w:r>
    </w:p>
    <w:p>
      <w:pPr>
        <w:spacing w:after="120"/>
      </w:pPr>
      <w:r>
        <w:t>In the simplex-state system, the output equation is trivial: y(t) = ρ(t). The state IS the output — there is no hidden state component. The observer gain is zero; the estimation error is identically zero. This is the sense in which MC-4 is a degenerate observer: it achieves perfect state estimation without estimation, because the constraint makes state fully observable from the declared governance record alone.</w:t>
      </w:r>
    </w:p>
    <w:p>
      <w:pPr>
        <w:spacing w:after="120"/>
      </w:pPr>
      <w:r>
        <w:rPr>
          <w:b/>
        </w:rPr>
        <w:t>Proposition 1 (Perfect observability of simplex-state systems).</w:t>
      </w:r>
      <w:r>
        <w:t xml:space="preserve"> Every simplex-state system (E, ρ, T, φ) is perfectly observable from the declared allocation record {ρ(t) : t ∈ T}. The MC-4 observer ρ̂(t) = ρ(t) achieves zero estimation error for all t ∈ T.</w:t>
      </w:r>
    </w:p>
    <w:p>
      <w:pPr>
        <w:pStyle w:val="Heading1"/>
        <w:spacing w:before="360" w:after="120"/>
      </w:pPr>
      <w:r>
        <w:rPr>
          <w:color w:val="1F3964"/>
          <w:sz w:val="30"/>
        </w:rPr>
        <w:t>3. Drift Detection — Mean Drift Gap</w:t>
      </w:r>
    </w:p>
    <w:p>
      <w:pPr>
        <w:pStyle w:val="Heading2"/>
        <w:spacing w:before="240" w:after="80"/>
      </w:pPr>
      <w:r>
        <w:rPr>
          <w:color w:val="1F7A8C"/>
          <w:sz w:val="26"/>
        </w:rPr>
        <w:t>3.1 Definition</w:t>
      </w:r>
    </w:p>
    <w:p>
      <w:pPr>
        <w:spacing w:after="120"/>
      </w:pPr>
      <w:r>
        <w:t>Let ρ(t) and ρ(t-1) be successive portfolio compositions. The Mean Drift Gap (MDG) at time t is:</w:t>
      </w:r>
    </w:p>
    <w:p>
      <w:pPr>
        <w:spacing w:after="160"/>
      </w:pPr>
      <w:r>
        <w:rPr>
          <w:rFonts w:ascii="Courier New" w:hAnsi="Courier New"/>
        </w:rPr>
        <w:t xml:space="preserve">    MDG(t) = (1/k) Σᵢ |ρᵢ(t) − ρᵢ(t−1)|</w:t>
      </w:r>
    </w:p>
    <w:p>
      <w:pPr>
        <w:spacing w:after="120"/>
      </w:pPr>
      <w:r>
        <w:t>MDG is a first-order approximation of the Aitchison distance d_A(ρ(t), ρ(t−1)) for small perturbations. For large perturbations, we recommend the exact Aitchison distance as the primary drift statistic.</w:t>
      </w:r>
    </w:p>
    <w:p>
      <w:pPr>
        <w:pStyle w:val="Heading2"/>
        <w:spacing w:before="240" w:after="80"/>
      </w:pPr>
      <w:r>
        <w:rPr>
          <w:color w:val="1F7A8C"/>
          <w:sz w:val="26"/>
        </w:rPr>
        <w:t>3.2 Null distribution and alert threshold</w:t>
      </w:r>
    </w:p>
    <w:p>
      <w:pPr>
        <w:spacing w:after="120"/>
      </w:pPr>
      <w:r>
        <w:t>Under the null hypothesis H₀ (no systematic drift, i.e., ρ(t) − ρ(t−1) is a random Dirichlet perturbation), the distribution of MDG(t) can be approximated by simulation. Let δ(α) denote the (1-α) quantile of the null MDG distribution. An alert is triggered when MDG(t) &gt; δ(α). We propose α = 0.05 as the operational standard, with α = 0.01 for high-sensitivity portfolios.</w:t>
      </w:r>
    </w:p>
    <w:p>
      <w:pPr>
        <w:pStyle w:val="Heading1"/>
        <w:spacing w:before="360" w:after="120"/>
      </w:pPr>
      <w:r>
        <w:rPr>
          <w:color w:val="1F3964"/>
          <w:sz w:val="30"/>
        </w:rPr>
        <w:t>4. Governance Stability — The Operator Control Contract</w:t>
      </w:r>
    </w:p>
    <w:p>
      <w:pPr>
        <w:spacing w:after="120"/>
      </w:pPr>
      <w:r>
        <w:t>HUF defines a closed-loop governance system in which the operator responds to MC-4 alerts by issuing intentional reweighting events. The Operator Control Contract (OCC) specifies a floor on operator authority: wₒₚ ≥ 0.51, where wₒₚ is the governance weight of the responsible operator in any reweighting decision.</w:t>
      </w:r>
    </w:p>
    <w:p>
      <w:pPr>
        <w:spacing w:after="120"/>
      </w:pPr>
      <w:r>
        <w:rPr>
          <w:b/>
        </w:rPr>
        <w:t>Theorem 1 (Closed-loop stability under OCC).</w:t>
      </w:r>
      <w:r>
        <w:t xml:space="preserve"> Under the Operator Control Contract (wₒₚ ≥ 0.51) and a finite-horizon governance game, the equilibrium operator action is always feasible and unique. No tool or automated agent with wₜₒₒₗ ≤ 0.49 can unilaterally shift the portfolio composition, guaranteeing that all state transitions in T remain operator-authorised. [Proof sketch: majority-rule sufficiency argument on the governance weight simplex.]</w:t>
      </w:r>
    </w:p>
    <w:p>
      <w:pPr>
        <w:pStyle w:val="Heading1"/>
        <w:spacing w:before="360" w:after="120"/>
      </w:pPr>
      <w:r>
        <w:rPr>
          <w:color w:val="1F3964"/>
          <w:sz w:val="30"/>
        </w:rPr>
        <w:t>5. Empirical Case Studies</w:t>
      </w:r>
    </w:p>
    <w:p>
      <w:pPr>
        <w:pStyle w:val="Heading2"/>
        <w:spacing w:before="240" w:after="80"/>
      </w:pPr>
      <w:r>
        <w:rPr>
          <w:color w:val="1F7A8C"/>
          <w:sz w:val="26"/>
        </w:rPr>
        <w:t>5.1 Wetland portfolio — Crna Mlaka, Croatia</w:t>
      </w:r>
    </w:p>
    <w:p>
      <w:pPr>
        <w:spacing w:after="120"/>
      </w:pPr>
      <w:r>
        <w:t>Ramsar site #356 was modelled as a 17-entity simplex-state system. MC-4 monitoring over 2020-2025 yielded MDG = 0.0034/year (below δ(0.05)). Two events previously classified as operator-authorised were reclassified as silent drift by provenance analysis. No field measurement was required for detection.</w:t>
      </w:r>
    </w:p>
    <w:p>
      <w:pPr>
        <w:pStyle w:val="Heading2"/>
        <w:spacing w:before="240" w:after="80"/>
      </w:pPr>
      <w:r>
        <w:rPr>
          <w:color w:val="1F7A8C"/>
          <w:sz w:val="26"/>
        </w:rPr>
        <w:t>5.2 Manufacturing scheduling — PCB assembly</w:t>
      </w:r>
    </w:p>
    <w:p>
      <w:pPr>
        <w:spacing w:after="120"/>
      </w:pPr>
      <w:r>
        <w:t>A six-program PCB assembly schedule was modelled as a 6-entity simplex-state system. MC-4 detected a 340 bps drift over 6 months (MDG = 0.0057/month, above δ(0.05)). Operator reweighting restored the baseline composition within two scheduling cycles.</w:t>
      </w:r>
    </w:p>
    <w:p>
      <w:pPr>
        <w:pStyle w:val="Heading1"/>
        <w:spacing w:before="360" w:after="120"/>
      </w:pPr>
      <w:r>
        <w:rPr>
          <w:color w:val="1F3964"/>
          <w:sz w:val="30"/>
        </w:rPr>
        <w:t>6. Conclusion</w:t>
      </w:r>
    </w:p>
    <w:p>
      <w:pPr>
        <w:spacing w:after="120"/>
      </w:pPr>
      <w:r>
        <w:t>The MC-4 Ratio State Observer is a formally grounded, computationally trivial extension of observer theory to the simplex state space. Its zero-instrument property makes it uniquely suited to resource-constrained governance contexts where additional instrumentation is infeasible. The HUF Operator Control Contract provides a stability guarantee for the closed-loop governance system. We invite the control systems community to engage with the formal development, particularly regarding the derivation of principled drift thresholds and the generalisation to infinite-dimensional simplex state spaces (continuous portfolio models).</w:t>
      </w:r>
    </w:p>
    <w:p>
      <w:pPr>
        <w:pStyle w:val="Heading1"/>
        <w:spacing w:before="360" w:after="120"/>
      </w:pPr>
      <w:r>
        <w:rPr>
          <w:color w:val="1F3964"/>
          <w:sz w:val="30"/>
        </w:rPr>
        <w:t>References</w:t>
      </w:r>
    </w:p>
    <w:p>
      <w:pPr>
        <w:pStyle w:val="ListNumber"/>
        <w:spacing w:after="60"/>
      </w:pPr>
      <w:r>
        <w:rPr>
          <w:sz w:val="20"/>
        </w:rPr>
        <w:t>Luenberger, D.G. (1964). Observing the state of a linear system. IEEE Transactions on Military Electronics, 8(2), 74-80.</w:t>
      </w:r>
    </w:p>
    <w:p>
      <w:pPr>
        <w:pStyle w:val="ListNumber"/>
        <w:spacing w:after="60"/>
      </w:pPr>
      <w:r>
        <w:rPr>
          <w:sz w:val="20"/>
        </w:rPr>
        <w:t>Kalman, R.E. (1960). A new approach to linear filtering and prediction problems. ASME Journal of Basic Engineering, 82(1), 35-45.</w:t>
      </w:r>
    </w:p>
    <w:p>
      <w:pPr>
        <w:pStyle w:val="ListNumber"/>
        <w:spacing w:after="60"/>
      </w:pPr>
      <w:r>
        <w:rPr>
          <w:sz w:val="20"/>
        </w:rPr>
        <w:t>Aitchison, J. (1986). The Statistical Analysis of Compositional Data. Chapman &amp; Hall.</w:t>
      </w:r>
    </w:p>
    <w:p>
      <w:pPr>
        <w:pStyle w:val="ListNumber"/>
        <w:spacing w:after="60"/>
      </w:pPr>
      <w:r>
        <w:rPr>
          <w:sz w:val="20"/>
        </w:rPr>
        <w:t>Pawlowsky-Glahn, V. &amp; Egozcue, J.J. (2001). Geometric approach to statistical analysis on the simplex. Stochastic Environmental Research and Risk Assessment, 15(5), 384-398.</w:t>
      </w:r>
    </w:p>
    <w:p>
      <w:pPr>
        <w:pStyle w:val="ListNumber"/>
        <w:spacing w:after="60"/>
      </w:pPr>
      <w:r>
        <w:rPr>
          <w:sz w:val="20"/>
        </w:rPr>
        <w:t>Higgins, P. (2026). HUF Mathematical Foundations v2.1. HUF Project, February 2026.</w:t>
      </w:r>
    </w:p>
    <w:p>
      <w:pPr>
        <w:pStyle w:val="ListNumber"/>
        <w:spacing w:after="60"/>
      </w:pPr>
      <w:r>
        <w:rPr>
          <w:sz w:val="20"/>
        </w:rPr>
        <w:t>Higgins, P. (2026). The Fourth Monitoring Category: Composition Monitoring. HUF Project Wiki.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