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hAnsi="Courier New"/>
          <w:sz w:val="16"/>
          <w:szCs w:val="16"/>
          <w:color w:val="666666"/>
        </w:rPr>
        <w:t xml:space="preserve">HUF-DOC: HUF.DRAFT.PARTNER.PRIMER.RAMSAR_CONTACT_PRIMER | HUF:1.1.8 | DOC:v12.0 | STATUS:reviewed | LANE:DRAFT | RO:Peter Higgins</w:t>
      </w:r>
    </w:p>
    <w:p>
      <w:r>
        <w:rPr>
          <w:rFonts w:ascii="Courier New" w:hAnsi="Courier New"/>
          <w:sz w:val="16"/>
          <w:szCs w:val="16"/>
          <w:color w:val="666666"/>
        </w:rPr>
        <w:t xml:space="preserve">CODES: huf, ramsar, contact, primer, partner | ART: CM, AS, TR, EB | EVID:E1 | POSTURE: OP | WEIGHTS: OP=0.80 TOOL=0.15 PEER=0.05 | CAP: OP_MIN=0.51 TOOL_MAX=0.49 | CANON:notes/current_documents/staged/HUF.DRAFT.PARTNER.PRIMER.RAMSAR_CONTACT_PRIMER/</w:t>
      </w:r>
    </w:p>
    <w:p>
      <w:pPr>
        <w:spacing w:before="0" w:after="60"/>
      </w:pP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40" w:line="276"/>
        <w:jc w:val="center"/>
      </w:pPr>
      <w:r>
        <w:rPr>
          <w:rFonts w:ascii="Arial" w:cs="Arial" w:eastAsia="Arial" w:hAnsi="Arial"/>
          <w:b w:val="false"/>
          <w:bCs w:val="false"/>
          <w:i/>
          <w:iCs/>
          <w:color w:val="666666"/>
          <w:sz w:val="20"/>
          <w:szCs w:val="20"/>
        </w:rPr>
        <w:t xml:space="preserve">A Briefing for Internal Discussion</w:t>
      </w:r>
    </w:p>
    <w:p>
      <w:pPr>
        <w:spacing w:before="0" w:after="80" w:line="276"/>
        <w:jc w:val="center"/>
      </w:pPr>
      <w:r>
        <w:rPr>
          <w:rFonts w:ascii="Arial" w:cs="Arial" w:eastAsia="Arial" w:hAnsi="Arial"/>
          <w:b/>
          <w:bCs/>
          <w:i w:val="false"/>
          <w:iCs w:val="false"/>
          <w:color w:val="1A3A2A"/>
          <w:sz w:val="32"/>
          <w:szCs w:val="32"/>
        </w:rPr>
        <w:t xml:space="preserve">Introducing the Higgins Unity Framework</w:t>
      </w:r>
    </w:p>
    <w:p>
      <w:pPr>
        <w:spacing w:before="0" w:after="20" w:line="276"/>
        <w:jc w:val="center"/>
      </w:pPr>
      <w:r>
        <w:rPr>
          <w:rFonts w:ascii="Arial" w:cs="Arial" w:eastAsia="Arial" w:hAnsi="Arial"/>
          <w:b w:val="false"/>
          <w:bCs w:val="false"/>
          <w:i/>
          <w:iCs/>
          <w:color w:val="2A5A3A"/>
          <w:sz w:val="28"/>
          <w:szCs w:val="28"/>
        </w:rPr>
        <w:t xml:space="preserve">A decision-support layer for portfolio coherence</w:t>
      </w:r>
    </w:p>
    <w:p>
      <w:pPr>
        <w:spacing w:before="0" w:after="320" w:line="276"/>
        <w:jc w:val="center"/>
      </w:pPr>
      <w:r>
        <w:rPr>
          <w:rFonts w:ascii="Arial" w:cs="Arial" w:eastAsia="Arial" w:hAnsi="Arial"/>
          <w:b w:val="false"/>
          <w:bCs w:val="false"/>
          <w:i/>
          <w:iCs/>
          <w:color w:val="666666"/>
          <w:sz w:val="24"/>
          <w:szCs w:val="24"/>
        </w:rPr>
        <w:t xml:space="preserve">What it shows · What it adds to existing tools · What we are asking you to consider</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2A5A3A" w:sz="8" w:space="12"/>
        </w:pBdr>
        <w:spacing w:before="120" w:after="120" w:line="276"/>
        <w:ind w:left="360" w:right="360"/>
        <w:jc w:val="both"/>
      </w:pPr>
      <w:r>
        <w:rPr>
          <w:rFonts w:ascii="Arial" w:cs="Arial" w:eastAsia="Arial" w:hAnsi="Arial"/>
          <w:b w:val="false"/>
          <w:bCs w:val="false"/>
          <w:i/>
          <w:iCs/>
          <w:color w:val="2A5A3A"/>
          <w:sz w:val="26"/>
          <w:szCs w:val="26"/>
        </w:rPr>
        <w:t xml:space="preserve">Every reporting cycle, a National Report may present acceptable site-level results while underlying patterns of monitoring effort or resource allocation shift toward a small number of high-visibility sites. The Higgins Unity Framework (HUF) provides a way to make such cross-cycle changes visible in a consistent, traceable format.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A3A2A" w:sz="4" w:space="6"/>
        </w:pBdr>
        <w:spacing w:before="360" w:after="160"/>
      </w:pPr>
      <w:r>
        <w:rPr>
          <w:rFonts w:ascii="Arial" w:cs="Arial" w:eastAsia="Arial" w:hAnsi="Arial"/>
          <w:b/>
          <w:bCs/>
          <w:i w:val="false"/>
          <w:iCs w:val="false"/>
          <w:color w:val="1A3A2A"/>
          <w:sz w:val="32"/>
          <w:szCs w:val="32"/>
        </w:rPr>
        <w:t xml:space="preserve">The drift that does not appear in any single report</w:t>
      </w:r>
    </w:p>
    <w:p>
      <w:pPr>
        <w:spacing w:before="0" w:after="160" w:line="276"/>
        <w:jc w:val="both"/>
      </w:pPr>
      <w:r>
        <w:rPr>
          <w:rFonts w:ascii="Georgia" w:cs="Georgia" w:eastAsia="Georgia" w:hAnsi="Georgia"/>
          <w:b w:val="false"/>
          <w:bCs w:val="false"/>
          <w:i w:val="false"/>
          <w:iCs w:val="false"/>
          <w:color w:val="000000"/>
          <w:sz w:val="24"/>
          <w:szCs w:val="24"/>
        </w:rPr>
        <w:t xml:space="preserve">Contracting Parties submit National Reports every three years. Site managers complete RIS forms and METT scorecards. These instruments provide information on site-level management. The challenge arises when changes occur not at the site level, but in the distribution of attention across a portfolio.</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Many consequential shifts are gradual: increased focus on transboundary or high-profile wetlands, reduced monitoring in lower-visibility sites with high ecological value, or incremental reallocation of resources without a corresponding policy decision. Each reporting cycle may appear consistent on its own. The pattern becomes visible only when viewed across cycles.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Ramsar guidance asks Parties to report adverse change in ecological character and to use traceable indicators that support governance accountability.</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2A5A3A" w:sz="8" w:space="12"/>
        </w:pBdr>
        <w:spacing w:before="120" w:after="120" w:line="276"/>
        <w:ind w:left="360" w:right="360"/>
        <w:jc w:val="both"/>
      </w:pPr>
      <w:r>
        <w:rPr>
          <w:rFonts w:ascii="Arial" w:cs="Arial" w:eastAsia="Arial" w:hAnsi="Arial"/>
          <w:b w:val="false"/>
          <w:bCs w:val="false"/>
          <w:i/>
          <w:iCs/>
          <w:color w:val="2A5A3A"/>
          <w:sz w:val="26"/>
          <w:szCs w:val="26"/>
        </w:rPr>
        <w:t xml:space="preserve">The issue is not sudden decline. It is slow reweighting that remains unreported because no mechanism currently tracks it.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A3A2A" w:sz="4" w:space="6"/>
        </w:pBdr>
        <w:spacing w:before="360" w:after="160"/>
      </w:pPr>
      <w:r>
        <w:rPr>
          <w:rFonts w:ascii="Arial" w:cs="Arial" w:eastAsia="Arial" w:hAnsi="Arial"/>
          <w:b/>
          <w:bCs/>
          <w:i w:val="false"/>
          <w:iCs w:val="false"/>
          <w:color w:val="1A3A2A"/>
          <w:sz w:val="32"/>
          <w:szCs w:val="32"/>
        </w:rPr>
        <w:t xml:space="preserve">What this framework adds to tools you already use</w:t>
      </w:r>
    </w:p>
    <w:p>
      <w:pPr>
        <w:spacing w:before="0" w:after="160" w:line="276"/>
        <w:jc w:val="both"/>
      </w:pPr>
      <w:r>
        <w:rPr>
          <w:rFonts w:ascii="Georgia" w:cs="Georgia" w:eastAsia="Georgia" w:hAnsi="Georgia"/>
          <w:b w:val="false"/>
          <w:bCs w:val="false"/>
          <w:i w:val="false"/>
          <w:iCs w:val="false"/>
          <w:color w:val="000000"/>
          <w:sz w:val="24"/>
          <w:szCs w:val="24"/>
        </w:rPr>
        <w:t xml:space="preserve">The Higgins Unity Framework is a traceability layer. It does not replace METT, RAPPAM, or the Site Assessment Tool (SAT). It uses outputs already produced — site scores, biodiversity data, area, endemism rates, ecosystem service values — and organises them into a shared portfolio view in which each site's proportional share is explicit and comparable across cycles.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HUF does not determine which ecological metrics are most important. Those decisions remain with national scientific teams. The framework records the weightings those teams apply and preserves them across reporting cycles. When portfolio shares shift, the shift is visible and attributable. Administrative pressures are not altered; their effects become legible.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In practical terms, the framework distinguishes between intentional reweighting — a documented policy or management decision — and silent reweighting — a shift occurring without a recorded decision. Whether a portfolio is concentrating or fragmenting, the framework detects both directions of change and records the decision context, converting ambiguity into clear, actionable transparency.</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2A5A3A" w:sz="8" w:space="12"/>
        </w:pBdr>
        <w:spacing w:before="120" w:after="120" w:line="276"/>
        <w:ind w:left="360" w:right="360"/>
        <w:jc w:val="both"/>
      </w:pPr>
      <w:r>
        <w:rPr>
          <w:rFonts w:ascii="Arial" w:cs="Arial" w:eastAsia="Arial" w:hAnsi="Arial"/>
          <w:b w:val="false"/>
          <w:bCs w:val="false"/>
          <w:i/>
          <w:iCs/>
          <w:color w:val="2A5A3A"/>
          <w:sz w:val="26"/>
          <w:szCs w:val="26"/>
        </w:rPr>
        <w:t xml:space="preserve">METT does exactly what it was designed to do. So does this framework — for a different question.</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METT, RAPPAM, and SAT assess management quality at a point in time. They do so effectively. The gap HUF addresses is different: whether the distribution of attention across a portfolio remains proportional over time. This is outside the scope of existing tools.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framework's outputs are designed to attach to documents Parties already produce: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ListParagraph"/>
        <w:numPr>
          <w:ilvl w:val="0"/>
          <w:numId w:val="1"/>
        </w:numPr>
        <w:spacing w:before="40" w:after="40" w:line="260"/>
        <w:ind w:left="720" w:hanging="360"/>
      </w:pPr>
      <w:r>
        <w:rPr>
          <w:rFonts w:ascii="Georgia" w:cs="Georgia" w:eastAsia="Georgia" w:hAnsi="Georgia"/>
          <w:b w:val="false"/>
          <w:bCs w:val="false"/>
          <w:i w:val="false"/>
          <w:iCs w:val="false"/>
          <w:color w:val="000000"/>
          <w:sz w:val="24"/>
          <w:szCs w:val="24"/>
        </w:rPr>
        <w:t xml:space="preserve">Portfolio share table → allocation view suitable for National Report annexes</w:t>
      </w:r>
    </w:p>
    <w:p>
      <w:pPr>
        <w:pStyle w:val="ListParagraph"/>
        <w:numPr>
          <w:ilvl w:val="0"/>
          <w:numId w:val="1"/>
        </w:numPr>
        <w:spacing w:before="40" w:after="40" w:line="260"/>
        <w:ind w:left="720" w:hanging="360"/>
      </w:pPr>
      <w:r>
        <w:rPr>
          <w:rFonts w:ascii="Georgia" w:cs="Georgia" w:eastAsia="Georgia" w:hAnsi="Georgia"/>
          <w:b w:val="false"/>
          <w:bCs w:val="false"/>
          <w:i w:val="false"/>
          <w:iCs w:val="false"/>
          <w:color w:val="000000"/>
          <w:sz w:val="24"/>
          <w:szCs w:val="24"/>
        </w:rPr>
        <w:t xml:space="preserve">Trace report → line-item explanation of why shares sit where they do</w:t>
      </w:r>
    </w:p>
    <w:p>
      <w:pPr>
        <w:pStyle w:val="ListParagraph"/>
        <w:numPr>
          <w:ilvl w:val="0"/>
          <w:numId w:val="1"/>
        </w:numPr>
        <w:spacing w:before="40" w:after="40" w:line="260"/>
        <w:ind w:left="720" w:hanging="360"/>
      </w:pPr>
      <w:r>
        <w:rPr>
          <w:rFonts w:ascii="Georgia" w:cs="Georgia" w:eastAsia="Georgia" w:hAnsi="Georgia"/>
          <w:b w:val="false"/>
          <w:bCs w:val="false"/>
          <w:i w:val="false"/>
          <w:iCs w:val="false"/>
          <w:color w:val="000000"/>
          <w:sz w:val="24"/>
          <w:szCs w:val="24"/>
        </w:rPr>
        <w:t xml:space="preserve">Portfolio change log → evidence distinguishing deliberate policy shifts from unexplained movement</w:t>
      </w:r>
    </w:p>
    <w:p>
      <w:pPr>
        <w:pStyle w:val="ListParagraph"/>
        <w:numPr>
          <w:ilvl w:val="0"/>
          <w:numId w:val="1"/>
        </w:numPr>
        <w:spacing w:before="40" w:after="40" w:line="260"/>
        <w:ind w:left="720" w:hanging="360"/>
      </w:pPr>
      <w:r>
        <w:rPr>
          <w:rFonts w:ascii="Georgia" w:cs="Georgia" w:eastAsia="Georgia" w:hAnsi="Georgia"/>
          <w:b w:val="false"/>
          <w:bCs w:val="false"/>
          <w:i w:val="false"/>
          <w:iCs w:val="false"/>
          <w:color w:val="000000"/>
          <w:sz w:val="24"/>
          <w:szCs w:val="24"/>
        </w:rPr>
        <w:t xml:space="preserve">Coverage record → documentation of what received reduced focus and the criteria involved</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These are standard CSV outputs. They attach to existing reporting structures. They do not require site managers to change how they work.</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A Party able to demonstrate proportional allocation — or to document that any departure reflected a deliberate choice — is better positioned to demonstrate consistent governance across cycles. For transboundary sites such as the Neretva Delta — shared between Croatia and Bosnia-Herzegovina and noted for very high fish endemism (figures from public RSIS data; verification required) — cross-cycle traceability aligns with Regional Initiative cooperation obligations under MedWet.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A3A2A" w:sz="4" w:space="6"/>
        </w:pBdr>
        <w:spacing w:before="360" w:after="160"/>
      </w:pPr>
      <w:r>
        <w:rPr>
          <w:rFonts w:ascii="Arial" w:cs="Arial" w:eastAsia="Arial" w:hAnsi="Arial"/>
          <w:b/>
          <w:bCs/>
          <w:i w:val="false"/>
          <w:iCs w:val="false"/>
          <w:color w:val="1A3A2A"/>
          <w:sz w:val="32"/>
          <w:szCs w:val="32"/>
        </w:rPr>
        <w:t xml:space="preserve">What a pilot could look like</w:t>
      </w:r>
    </w:p>
    <w:p>
      <w:pPr>
        <w:spacing w:before="0" w:after="160" w:line="276"/>
        <w:jc w:val="both"/>
      </w:pPr>
      <w:r>
        <w:rPr>
          <w:rFonts w:ascii="Georgia" w:cs="Georgia" w:eastAsia="Georgia" w:hAnsi="Georgia"/>
          <w:b w:val="false"/>
          <w:bCs w:val="false"/>
          <w:i w:val="false"/>
          <w:iCs w:val="false"/>
          <w:color w:val="000000"/>
          <w:sz w:val="24"/>
          <w:szCs w:val="24"/>
        </w:rPr>
        <w:t xml:space="preserve">A potential pilot could focus on Croatia's five Ramsar sites: Kopački Rit, Lonjsko Polje and Mokro Polje, Crna Mlaka, Lower Neretva Valley, and Vransko Lake Nature Park and Crkvine Wetland — totalling 93,590 hectares (RSIS Annotated Summary, Croatia, 2024).</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underlying data already exists. The gap is the absence of a mechanism to trace whether administrative gravity produces unreported reweighting across the portfolio.</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A pilot could be structured over approximately 18 months: establish a steering group with the Croatian Ministry and local partners; collect and verify baseline data from public RSIS exports; run the framework on site metrics and produce baseline artifacts; and prepare a final report for internal review and potential further use. Funding pathways can be discussed separately. All code is open-source. Outputs are standard CSV files.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A demonstration using Croatia's public RSIS data can be produced prior to any pilot decision. The framework accommodates asynchronous data; synchronised reporting windows are not required. The demonstration will show how declared changes in scientific priorities are recorded as intentional decisions. A substantial drop in a site's share is not necessarily a systemic failure — it can be a mathematically sound reflection of the scientific team's declared priorities. The demonstration will make that distinction explicit by producing the portfolio share table, trace report, portfolio change log, and coverage record for review.</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2A5A3A" w:sz="8" w:space="12"/>
        </w:pBdr>
        <w:spacing w:before="120" w:after="120" w:line="276"/>
        <w:ind w:left="360" w:right="360"/>
        <w:jc w:val="both"/>
      </w:pPr>
      <w:r>
        <w:rPr>
          <w:rFonts w:ascii="Arial" w:cs="Arial" w:eastAsia="Arial" w:hAnsi="Arial"/>
          <w:b w:val="false"/>
          <w:bCs w:val="false"/>
          <w:i/>
          <w:iCs/>
          <w:color w:val="2A5A3A"/>
          <w:sz w:val="26"/>
          <w:szCs w:val="26"/>
        </w:rPr>
        <w:t xml:space="preserve">The pilot does not ask for endorsement of results. It asks for the opportunity to generate them. If the framework performs as intended, the artifacts will show it. If not, the artifacts will show that as well.</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A3A2A" w:sz="4" w:space="6"/>
        </w:pBdr>
        <w:spacing w:before="360" w:after="160"/>
      </w:pPr>
      <w:r>
        <w:rPr>
          <w:rFonts w:ascii="Arial" w:cs="Arial" w:eastAsia="Arial" w:hAnsi="Arial"/>
          <w:b/>
          <w:bCs/>
          <w:i w:val="false"/>
          <w:iCs w:val="false"/>
          <w:color w:val="1A3A2A"/>
          <w:sz w:val="32"/>
          <w:szCs w:val="32"/>
        </w:rPr>
        <w:t xml:space="preserve">What we are asking</w:t>
      </w:r>
    </w:p>
    <w:p>
      <w:pPr>
        <w:spacing w:before="0" w:after="160" w:line="276"/>
        <w:jc w:val="both"/>
      </w:pPr>
      <w:r>
        <w:rPr>
          <w:rFonts w:ascii="Georgia" w:cs="Georgia" w:eastAsia="Georgia" w:hAnsi="Georgia"/>
          <w:b w:val="false"/>
          <w:bCs w:val="false"/>
          <w:i w:val="false"/>
          <w:iCs w:val="false"/>
          <w:color w:val="000000"/>
          <w:sz w:val="24"/>
          <w:szCs w:val="24"/>
        </w:rPr>
        <w:t xml:space="preserve">No resources or commitments are being requested. The question for internal discussion is: does the gap this framework addresses — cross-cycle allocation traceability across a site portfolio — correspond to any current Secretariat or Regional Initiative work?</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If so, an optional short demonstration using Croatia's public RSIS data can be provided. No preparation is required. The resulting portfolio share table and trace report can be reviewed at your convenience.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One clarification: the framework does not treat all reweighting as a concern. If increased monitoring at the Neretva Delta reflects a policy priority or transboundary obligation, the portfolio change log records it as a deliberate decision. What appears as unexplained movement is reweighting without a corresponding decision. The framework is designed to make that distinction visible.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If the answer is no, that assessment is useful. If yes, the question becomes how this might relate to ongoing work on Strategic Plan Target 15 or National Report comparability across cycles. Either outcome is useful.</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bottom w:val="single" w:color="CCCCCC" w:sz="2"/>
        </w:pBdr>
        <w:spacing w:before="240" w:after="240" w:line="276"/>
        <w:jc w:val="both"/>
      </w:pPr>
      <w:r>
        <w:rPr>
          <w:rFonts w:ascii="Georgia" w:cs="Georgia" w:eastAsia="Georgia" w:hAnsi="Georgia"/>
          <w:b w:val="false"/>
          <w:bCs w:val="false"/>
          <w:i w:val="false"/>
          <w:iCs w:val="false"/>
          <w:color w:val="000000"/>
          <w:sz w:val="4"/>
          <w:szCs w:val="4"/>
        </w:rPr>
        <w:t xml:space="preserve"/>
      </w:r>
    </w:p>
    <w:p>
      <w:pPr>
        <w:spacing w:before="60" w:after="60" w:line="276"/>
        <w:ind w:left="360" w:right="360"/>
        <w:jc w:val="both"/>
      </w:pPr>
      <w:r>
        <w:rPr>
          <w:rFonts w:ascii="Arial" w:cs="Arial" w:eastAsia="Arial" w:hAnsi="Arial"/>
          <w:b/>
          <w:bCs/>
          <w:i w:val="false"/>
          <w:iCs w:val="false"/>
          <w:color w:val="555555"/>
          <w:sz w:val="20"/>
          <w:szCs w:val="20"/>
        </w:rPr>
        <w:t xml:space="preserve">Data provenance:  </w:t>
      </w:r>
      <w:r>
        <w:rPr>
          <w:rFonts w:ascii="Georgia" w:cs="Georgia" w:eastAsia="Georgia" w:hAnsi="Georgia"/>
          <w:b w:val="false"/>
          <w:bCs w:val="false"/>
          <w:i/>
          <w:iCs/>
          <w:color w:val="555555"/>
          <w:sz w:val="20"/>
          <w:szCs w:val="20"/>
        </w:rPr>
        <w:t xml:space="preserve">Where RSIS or other public exports are cited, the specific export filename and retrieval date are recorded in the pilot baseline package.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A3A2A" w:sz="4" w:space="6"/>
        </w:pBdr>
        <w:spacing w:before="360" w:after="160"/>
      </w:pPr>
      <w:r>
        <w:rPr>
          <w:rFonts w:ascii="Arial" w:cs="Arial" w:eastAsia="Arial" w:hAnsi="Arial"/>
          <w:b/>
          <w:bCs/>
          <w:i w:val="false"/>
          <w:iCs w:val="false"/>
          <w:color w:val="1A3A2A"/>
          <w:sz w:val="32"/>
          <w:szCs w:val="32"/>
        </w:rPr>
        <w:t xml:space="preserve">Technical resources</w:t>
      </w:r>
    </w:p>
    <w:p>
      <w:pPr>
        <w:spacing w:before="40" w:after="40" w:line="276"/>
        <w:jc w:val="both"/>
      </w:pPr>
      <w:r>
        <w:rPr>
          <w:rFonts w:ascii="Arial" w:cs="Arial" w:eastAsia="Arial" w:hAnsi="Arial"/>
          <w:b/>
          <w:bCs/>
          <w:i w:val="false"/>
          <w:iCs w:val="false"/>
          <w:color w:val="000000"/>
          <w:sz w:val="20"/>
          <w:szCs w:val="20"/>
        </w:rPr>
        <w:t xml:space="preserve">Repository and open-source code: </w:t>
      </w:r>
      <w:hyperlink w:history="1" r:id="rIdadgmp4qumsgli4884glxf">
        <w:r>
          <w:rPr>
            <w:rFonts w:ascii="Arial" w:cs="Arial" w:eastAsia="Arial" w:hAnsi="Arial"/>
            <w:b w:val="false"/>
            <w:bCs w:val="false"/>
            <w:i w:val="false"/>
            <w:iCs w:val="false"/>
            <w:color w:val="1155CC"/>
            <w:sz w:val="20"/>
            <w:szCs w:val="20"/>
          </w:rPr>
          <w:t xml:space="preserve">https://github.com/PeterHiggins19/huf_core</w:t>
        </w:r>
      </w:hyperlink>
    </w:p>
    <w:p>
      <w:pPr>
        <w:spacing w:before="40" w:after="40" w:line="276"/>
        <w:jc w:val="both"/>
      </w:pPr>
      <w:r>
        <w:rPr>
          <w:rFonts w:ascii="Arial" w:cs="Arial" w:eastAsia="Arial" w:hAnsi="Arial"/>
          <w:b/>
          <w:bCs/>
          <w:i w:val="false"/>
          <w:iCs w:val="false"/>
          <w:color w:val="000000"/>
          <w:sz w:val="20"/>
          <w:szCs w:val="20"/>
        </w:rPr>
        <w:t xml:space="preserve">Documentation and field guide: </w:t>
      </w:r>
      <w:hyperlink w:history="1" r:id="rIdkxifagwflxriqgpvkanqa">
        <w:r>
          <w:rPr>
            <w:rFonts w:ascii="Arial" w:cs="Arial" w:eastAsia="Arial" w:hAnsi="Arial"/>
            <w:b w:val="false"/>
            <w:bCs w:val="false"/>
            <w:i w:val="false"/>
            <w:iCs w:val="false"/>
            <w:color w:val="1155CC"/>
            <w:sz w:val="20"/>
            <w:szCs w:val="20"/>
          </w:rPr>
          <w:t xml:space="preserve">https://peterhiggins19.github.io/huf_core</w:t>
        </w:r>
      </w:hyperlink>
    </w:p>
    <w:p>
      <w:pPr>
        <w:spacing w:before="40" w:after="40" w:line="276"/>
        <w:jc w:val="both"/>
      </w:pPr>
      <w:r>
        <w:rPr>
          <w:rFonts w:ascii="Arial" w:cs="Arial" w:eastAsia="Arial" w:hAnsi="Arial"/>
          <w:b/>
          <w:bCs/>
          <w:i w:val="false"/>
          <w:iCs w:val="false"/>
          <w:color w:val="000000"/>
          <w:sz w:val="20"/>
          <w:szCs w:val="20"/>
        </w:rPr>
        <w:t xml:space="preserve">Wiki and collective review record: </w:t>
      </w:r>
      <w:hyperlink w:history="1" r:id="rIdq9mgbfwpzglbxvzcvdxx0">
        <w:r>
          <w:rPr>
            <w:rFonts w:ascii="Arial" w:cs="Arial" w:eastAsia="Arial" w:hAnsi="Arial"/>
            <w:b w:val="false"/>
            <w:bCs w:val="false"/>
            <w:i w:val="false"/>
            <w:iCs w:val="false"/>
            <w:color w:val="1155CC"/>
            <w:sz w:val="20"/>
            <w:szCs w:val="20"/>
          </w:rPr>
          <w:t xml:space="preserve">https://github.com/PeterHiggins19/huf_core/wiki</w:t>
        </w:r>
      </w:hyperlink>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bottom w:val="single" w:color="CCCCCC" w:sz="2"/>
        </w:pBdr>
        <w:spacing w:before="240" w:after="240" w:line="276"/>
        <w:jc w:val="both"/>
      </w:pPr>
      <w:r>
        <w:rPr>
          <w:rFonts w:ascii="Georgia" w:cs="Georgia" w:eastAsia="Georgia" w:hAnsi="Georgia"/>
          <w:b w:val="false"/>
          <w:bCs w:val="false"/>
          <w:i w:val="false"/>
          <w:iCs w:val="false"/>
          <w:color w:val="000000"/>
          <w:sz w:val="4"/>
          <w:szCs w:val="4"/>
        </w:rPr>
        <w:t xml:space="preserve"/>
      </w:r>
    </w:p>
    <w:p>
      <w:pPr>
        <w:spacing w:before="60" w:after="60" w:line="276"/>
        <w:ind w:left="360" w:right="360"/>
        <w:jc w:val="both"/>
      </w:pPr>
      <w:r>
        <w:rPr>
          <w:rFonts w:ascii="Arial" w:cs="Arial" w:eastAsia="Arial" w:hAnsi="Arial"/>
          <w:b/>
          <w:bCs/>
          <w:i w:val="false"/>
          <w:iCs w:val="false"/>
          <w:color w:val="555555"/>
          <w:sz w:val="20"/>
          <w:szCs w:val="20"/>
        </w:rPr>
        <w:t xml:space="preserve">Ethics:  </w:t>
      </w:r>
      <w:r>
        <w:rPr>
          <w:rFonts w:ascii="Georgia" w:cs="Georgia" w:eastAsia="Georgia" w:hAnsi="Georgia"/>
          <w:b w:val="false"/>
          <w:bCs w:val="false"/>
          <w:i/>
          <w:iCs/>
          <w:color w:val="555555"/>
          <w:sz w:val="20"/>
          <w:szCs w:val="20"/>
        </w:rPr>
        <w:t xml:space="preserve">Prepared with AI-assisted drafting, reviewed and curated by the operator. Claims are stated conservatively and should be treated as hypotheses pending pilot validation.</w:t>
      </w:r>
    </w:p>
    <w:p>
      <w:pPr>
        <w:spacing w:before="0" w:after="120" w:line="276"/>
        <w:jc w:val="both"/>
      </w:pPr>
      <w:r>
        <w:rPr>
          <w:rFonts w:ascii="Georgia" w:cs="Georgia" w:eastAsia="Georgia" w:hAnsi="Georgia"/>
          <w:b w:val="false"/>
          <w:bCs w:val="false"/>
          <w:i w:val="false"/>
          <w:iCs w:val="false"/>
          <w:color w:val="000000"/>
          <w:sz w:val="24"/>
          <w:szCs w:val="24"/>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160" w:line="276"/>
      <w:jc w:val="center"/>
    </w:pPr>
    <w:r>
      <w:rPr>
        <w:rFonts w:ascii="Arial" w:cs="Arial" w:eastAsia="Arial" w:hAnsi="Arial"/>
        <w:b w:val="false"/>
        <w:bCs w:val="false"/>
        <w:i w:val="false"/>
        <w:iCs w:val="false"/>
        <w:color w:val="888888"/>
        <w:sz w:val="18"/>
        <w:szCs w:val="18"/>
      </w:rPr>
      <w:t xml:space="preserve">Peter Higgins · Rogue Wave Audio · Markham, Ontario · roguewaveaudio.com  ·  HUF v1.2.0 · MIT License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160" w:line="276"/>
      <w:jc w:val="both"/>
    </w:pPr>
    <w:r>
      <w:rPr>
        <w:rFonts w:ascii="Arial" w:cs="Arial" w:eastAsia="Arial" w:hAnsi="Arial"/>
        <w:b w:val="false"/>
        <w:bCs w:val="false"/>
        <w:i w:val="false"/>
        <w:iCs w:val="false"/>
        <w:color w:val="888888"/>
        <w:sz w:val="18"/>
        <w:szCs w:val="18"/>
      </w:rPr>
      <w:t xml:space="preserve">HIGGINS UNITY FRAMEWORK  ·  RAMSAR CONTACT PRIMER  ·  v12</w:t>
    </w:r>
    <w:r>
      <w:rPr>
        <w:rFonts w:ascii="Arial" w:cs="Arial" w:eastAsia="Arial" w:hAnsi="Arial"/>
        <w:b/>
        <w:bCs/>
        <w:i w:val="false"/>
        <w:iCs w:val="false"/>
        <w:color w:val="AA4400"/>
        <w:sz w:val="18"/>
        <w:szCs w:val="18"/>
      </w:rPr>
      <w:t xml:space="preserve">  |  INTERNAL DISCUSSION DOCUMENT — NOT FOR EXTERNAL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adgmp4qumsgli4884glxf" Type="http://schemas.openxmlformats.org/officeDocument/2006/relationships/hyperlink" Target="https://github.com/PeterHiggins19/huf_core" TargetMode="External"/><Relationship Id="rIdkxifagwflxriqgpvkanqa" Type="http://schemas.openxmlformats.org/officeDocument/2006/relationships/hyperlink" Target="https://peterhiggins19.github.io/huf_core" TargetMode="External"/><Relationship Id="rIdq9mgbfwpzglbxvzcvdxx0" Type="http://schemas.openxmlformats.org/officeDocument/2006/relationships/hyperlink" Target="https://github.com/PeterHiggins19/huf_core/wiki" TargetMode="Externa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2026-02-27T02:37:04.363Z</dcterms:created>
  <dcterms:modified xsi:type="dcterms:W3CDTF">2026-02-27T02:37:04.364Z</dcterms:modified>
</cp:coreProperties>
</file>

<file path=docProps/custom.xml><?xml version="1.0" encoding="utf-8"?>
<Properties xmlns="http://schemas.openxmlformats.org/officeDocument/2006/custom-properties" xmlns:vt="http://schemas.openxmlformats.org/officeDocument/2006/docPropsVTypes"/>
</file>