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jc w:val="center"/>
      </w:pPr>
      <w:r>
        <w:rPr>
          <w:rFonts w:ascii="Georgia" w:cs="Georgia" w:eastAsia="Georgia" w:hAnsi="Georgia"/>
          <w:b/>
          <w:bCs/>
          <w:color w:val="1E2761"/>
          <w:sz w:val="72"/>
          <w:szCs w:val="72"/>
        </w:rPr>
        <w:t xml:space="preserve">EXP-15</w:t>
      </w:r>
    </w:p>
    <w:p>
      <w:pPr>
        <w:spacing w:after="200"/>
        <w:jc w:val="center"/>
      </w:pPr>
      <w:r>
        <w:rPr>
          <w:rFonts w:ascii="Georgia" w:cs="Georgia" w:eastAsia="Georgia" w:hAnsi="Georgia"/>
          <w:color w:val="028090"/>
          <w:sz w:val="48"/>
          <w:szCs w:val="48"/>
        </w:rPr>
        <w:t xml:space="preserve">X-Ray Crystallography</w:t>
      </w:r>
    </w:p>
    <w:p>
      <w:pPr>
        <w:spacing w:after="100"/>
        <w:jc w:val="center"/>
      </w:pPr>
      <w:r>
        <w:rPr>
          <w:rFonts w:ascii="Georgia" w:cs="Georgia" w:eastAsia="Georgia" w:hAnsi="Georgia"/>
          <w:color w:val="028090"/>
          <w:sz w:val="48"/>
          <w:szCs w:val="48"/>
        </w:rPr>
        <w:t xml:space="preserve">Higgins Decomposition</w:t>
      </w:r>
    </w:p>
    <w:p>
      <w:pPr>
        <w:pBdr>
          <w:bottom w:val="single" w:color="1E2761" w:sz="6" w:space="8"/>
        </w:pBdr>
        <w:spacing w:after="400"/>
        <w:jc w:val="center"/>
      </w:pPr>
      <w:r>
        <w:rPr>
          <w:rFonts w:ascii="Arial" w:cs="Arial" w:eastAsia="Arial" w:hAnsi="Arial"/>
          <w:i/>
          <w:iCs/>
          <w:color w:val="555555"/>
          <w:sz w:val="24"/>
          <w:szCs w:val="24"/>
        </w:rPr>
        <w:t xml:space="preserve">First Confirmation of Compatibility: Energy–Matter Dual-Anchor Test</w:t>
      </w:r>
    </w:p>
    <w:p>
      <w:pPr>
        <w:spacing w:after="600"/>
      </w:pPr>
    </w:p>
    <w:tbl>
      <w:tblPr>
        <w:tblW w:type="dxa" w:w="540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tblGrid>
      <w:tr>
        <w:tc>
          <w:tcPr>
            <w:tcW w:type="dxa" w:w="2000"/>
            <w:tcBorders>
              <w:top w:val="none" w:color="FFFFFF" w:sz="0"/>
              <w:left w:val="none" w:color="FFFFFF" w:sz="0"/>
              <w:bottom w:val="none" w:color="FFFFFF" w:sz="0"/>
              <w:right w:val="none" w:color="FFFFFF" w:sz="0"/>
            </w:tcBorders>
            <w:shd w:fill="F0F4F8" w:val="clear"/>
            <w:tcMar>
              <w:top w:type="dxa" w:w="60"/>
              <w:left w:type="dxa" w:w="100"/>
              <w:bottom w:type="dxa" w:w="60"/>
              <w:right w:type="dxa" w:w="100"/>
            </w:tcMar>
          </w:tcPr>
          <w:p>
            <w:pPr>
              <w:jc w:val="left"/>
            </w:pPr>
            <w:r>
              <w:rPr>
                <w:rFonts w:ascii="Arial" w:cs="Arial" w:eastAsia="Arial" w:hAnsi="Arial"/>
                <w:b/>
                <w:bCs/>
                <w:i w:val="false"/>
                <w:iCs w:val="false"/>
                <w:color w:val="1E2761"/>
                <w:sz w:val="20"/>
                <w:szCs w:val="20"/>
              </w:rPr>
              <w:t xml:space="preserve">Author</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Peter Higgins / Claude</w:t>
            </w:r>
          </w:p>
        </w:tc>
      </w:tr>
      <w:tr>
        <w:tc>
          <w:tcPr>
            <w:tcW w:type="dxa" w:w="2000"/>
            <w:tcBorders>
              <w:top w:val="none" w:color="FFFFFF" w:sz="0"/>
              <w:left w:val="none" w:color="FFFFFF" w:sz="0"/>
              <w:bottom w:val="none" w:color="FFFFFF" w:sz="0"/>
              <w:right w:val="none" w:color="FFFFFF" w:sz="0"/>
            </w:tcBorders>
            <w:shd w:fill="F0F4F8" w:val="clear"/>
            <w:tcMar>
              <w:top w:type="dxa" w:w="60"/>
              <w:left w:type="dxa" w:w="100"/>
              <w:bottom w:type="dxa" w:w="60"/>
              <w:right w:type="dxa" w:w="100"/>
            </w:tcMar>
          </w:tcPr>
          <w:p>
            <w:pPr>
              <w:jc w:val="left"/>
            </w:pPr>
            <w:r>
              <w:rPr>
                <w:rFonts w:ascii="Arial" w:cs="Arial" w:eastAsia="Arial" w:hAnsi="Arial"/>
                <w:b/>
                <w:bCs/>
                <w:i w:val="false"/>
                <w:iCs w:val="false"/>
                <w:color w:val="1E2761"/>
                <w:sz w:val="20"/>
                <w:szCs w:val="20"/>
              </w:rPr>
              <w:t xml:space="preserve">Date</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21 April 2026</w:t>
            </w:r>
          </w:p>
        </w:tc>
      </w:tr>
      <w:tr>
        <w:tc>
          <w:tcPr>
            <w:tcW w:type="dxa" w:w="2000"/>
            <w:tcBorders>
              <w:top w:val="none" w:color="FFFFFF" w:sz="0"/>
              <w:left w:val="none" w:color="FFFFFF" w:sz="0"/>
              <w:bottom w:val="none" w:color="FFFFFF" w:sz="0"/>
              <w:right w:val="none" w:color="FFFFFF" w:sz="0"/>
            </w:tcBorders>
            <w:shd w:fill="F0F4F8" w:val="clear"/>
            <w:tcMar>
              <w:top w:type="dxa" w:w="60"/>
              <w:left w:type="dxa" w:w="100"/>
              <w:bottom w:type="dxa" w:w="60"/>
              <w:right w:type="dxa" w:w="100"/>
            </w:tcMar>
          </w:tcPr>
          <w:p>
            <w:pPr>
              <w:jc w:val="left"/>
            </w:pPr>
            <w:r>
              <w:rPr>
                <w:rFonts w:ascii="Arial" w:cs="Arial" w:eastAsia="Arial" w:hAnsi="Arial"/>
                <w:b/>
                <w:bCs/>
                <w:i w:val="false"/>
                <w:iCs w:val="false"/>
                <w:color w:val="1E2761"/>
                <w:sz w:val="20"/>
                <w:szCs w:val="20"/>
              </w:rPr>
              <w:t xml:space="preserve">Programme</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Higgins Unity Framework (HUF)</w:t>
            </w:r>
          </w:p>
        </w:tc>
      </w:tr>
      <w:tr>
        <w:tc>
          <w:tcPr>
            <w:tcW w:type="dxa" w:w="2000"/>
            <w:tcBorders>
              <w:top w:val="none" w:color="FFFFFF" w:sz="0"/>
              <w:left w:val="none" w:color="FFFFFF" w:sz="0"/>
              <w:bottom w:val="none" w:color="FFFFFF" w:sz="0"/>
              <w:right w:val="none" w:color="FFFFFF" w:sz="0"/>
            </w:tcBorders>
            <w:shd w:fill="F0F4F8" w:val="clear"/>
            <w:tcMar>
              <w:top w:type="dxa" w:w="60"/>
              <w:left w:type="dxa" w:w="100"/>
              <w:bottom w:type="dxa" w:w="60"/>
              <w:right w:type="dxa" w:w="100"/>
            </w:tcMar>
          </w:tcPr>
          <w:p>
            <w:pPr>
              <w:jc w:val="left"/>
            </w:pPr>
            <w:r>
              <w:rPr>
                <w:rFonts w:ascii="Arial" w:cs="Arial" w:eastAsia="Arial" w:hAnsi="Arial"/>
                <w:b/>
                <w:bCs/>
                <w:i w:val="false"/>
                <w:iCs w:val="false"/>
                <w:color w:val="1E2761"/>
                <w:sz w:val="20"/>
                <w:szCs w:val="20"/>
              </w:rPr>
              <w:t xml:space="preserve">Experiment</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EXP-15 / CoDaWork 2026 Series</w:t>
            </w:r>
          </w:p>
        </w:tc>
      </w:tr>
      <w:tr>
        <w:tc>
          <w:tcPr>
            <w:tcW w:type="dxa" w:w="2000"/>
            <w:tcBorders>
              <w:top w:val="none" w:color="FFFFFF" w:sz="0"/>
              <w:left w:val="none" w:color="FFFFFF" w:sz="0"/>
              <w:bottom w:val="none" w:color="FFFFFF" w:sz="0"/>
              <w:right w:val="none" w:color="FFFFFF" w:sz="0"/>
            </w:tcBorders>
            <w:shd w:fill="F0F4F8" w:val="clear"/>
            <w:tcMar>
              <w:top w:type="dxa" w:w="60"/>
              <w:left w:type="dxa" w:w="100"/>
              <w:bottom w:type="dxa" w:w="60"/>
              <w:right w:type="dxa" w:w="100"/>
            </w:tcMar>
          </w:tcPr>
          <w:p>
            <w:pPr>
              <w:jc w:val="left"/>
            </w:pPr>
            <w:r>
              <w:rPr>
                <w:rFonts w:ascii="Arial" w:cs="Arial" w:eastAsia="Arial" w:hAnsi="Arial"/>
                <w:b/>
                <w:bCs/>
                <w:i w:val="false"/>
                <w:iCs w:val="false"/>
                <w:color w:val="1E2761"/>
                <w:sz w:val="20"/>
                <w:szCs w:val="20"/>
              </w:rPr>
              <w:t xml:space="preserve">Status</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jc w:val="left"/>
            </w:pPr>
            <w:r>
              <w:rPr>
                <w:rFonts w:ascii="Arial" w:cs="Arial" w:eastAsia="Arial" w:hAnsi="Arial"/>
                <w:b/>
                <w:bCs/>
                <w:i w:val="false"/>
                <w:iCs w:val="false"/>
                <w:color w:val="3FB950"/>
                <w:sz w:val="20"/>
                <w:szCs w:val="20"/>
              </w:rPr>
              <w:t xml:space="preserve">FIRST CONFIRMATION — Compatible</w:t>
            </w:r>
          </w:p>
        </w:tc>
      </w:tr>
    </w:tbl>
    <w:p>
      <w:r>
        <w:br w:type="page"/>
      </w:r>
    </w:p>
    <w:p>
      <w:pPr>
        <w:pStyle w:val="Heading1"/>
      </w:pPr>
      <w:r>
        <w:t xml:space="preserve">1. Abstract</w:t>
      </w:r>
    </w:p>
    <w:p>
      <w:pPr>
        <w:spacing w:after="80" w:before="80"/>
        <w:jc w:val="left"/>
      </w:pPr>
      <w:r>
        <w:rPr>
          <w:rFonts w:ascii="Arial" w:cs="Arial" w:eastAsia="Arial" w:hAnsi="Arial"/>
          <w:b w:val="false"/>
          <w:bCs w:val="false"/>
          <w:i w:val="false"/>
          <w:iCs w:val="false"/>
          <w:color w:val="333333"/>
          <w:sz w:val="22"/>
          <w:szCs w:val="22"/>
        </w:rPr>
        <w:t xml:space="preserve">This experiment applies the 10-step Higgins Decomposition to X-ray crystallographic systems for the first time, testing whether the compositional data analysis (CoDa) framework developed for geochemistry, nuclear physics, and financial time series extends to electron-density scattering in periodic crystals.</w:t>
      </w:r>
    </w:p>
    <w:p>
      <w:pPr>
        <w:spacing w:after="80" w:before="80"/>
        <w:jc w:val="left"/>
      </w:pPr>
      <w:r>
        <w:rPr>
          <w:rFonts w:ascii="Arial" w:cs="Arial" w:eastAsia="Arial" w:hAnsi="Arial"/>
          <w:b w:val="false"/>
          <w:bCs w:val="false"/>
          <w:i w:val="false"/>
          <w:iCs w:val="false"/>
          <w:color w:val="333333"/>
          <w:sz w:val="22"/>
          <w:szCs w:val="22"/>
        </w:rPr>
        <w:t xml:space="preserve">Six mineral crystals spanning four structural types (simple ionic, nesosilicate, tectosilicate, carbonate, and oxide) were analysed using Cromer–Mann atomic scattering factors from the International Tables for Crystallography, Vol. C. The scattering factor compositions were tracked as functions of the diffraction parameter s = sin(θ)/λ across 200 points from 0.01 to 1.2 Å⁻¹.</w:t>
      </w:r>
    </w:p>
    <w:p>
      <w:pPr>
        <w:spacing w:after="80" w:before="80"/>
        <w:jc w:val="left"/>
      </w:pPr>
      <w:r>
        <w:rPr>
          <w:rFonts w:ascii="Arial" w:cs="Arial" w:eastAsia="Arial" w:hAnsi="Arial"/>
          <w:b w:val="false"/>
          <w:bCs w:val="false"/>
          <w:i w:val="false"/>
          <w:iCs w:val="false"/>
          <w:color w:val="333333"/>
          <w:sz w:val="22"/>
          <w:szCs w:val="22"/>
        </w:rPr>
        <w:t xml:space="preserve">Results confirm compatibility: three of six crystals (Olivine Fo90, Almandine Garnet, Perovskite) produce strong bowl-shaped PLL parabolas on σ²_A vs s, the diagnostic signature of a genuine fixed-point anchor. The remaining three (Halite, Quartz, Calcite) show anti-lock (hill-shaped) parabolas, consistent with low compositional contrast. Pairwise CoDa balances successfully break the anti-lock in Perovskite, mirroring the intermediate rocks discovery (EXP-14). Super squeeze analysis yields 82 reciprocal matches across all six crystals, with the tightest at δ = 0.00034 (Calcite: log₁₀(e) → ln(2)).</w:t>
      </w:r>
    </w:p>
    <w:p>
      <w:pPr>
        <w:spacing w:after="80" w:before="80"/>
        <w:jc w:val="left"/>
      </w:pPr>
      <w:r>
        <w:rPr>
          <w:rFonts w:ascii="Arial" w:cs="Arial" w:eastAsia="Arial" w:hAnsi="Arial"/>
          <w:b/>
          <w:bCs/>
          <w:i w:val="false"/>
          <w:iCs w:val="false"/>
          <w:color w:val="333333"/>
          <w:sz w:val="22"/>
          <w:szCs w:val="22"/>
        </w:rPr>
        <w:t xml:space="preserve">This constitutes the first confirmation that the Higgins Decomposition operates in the ENERGY domain (electron scattering) as well as the MATTER domain (oxide compositions), validating the dual-anchor concept central to the unified framework.</w:t>
      </w:r>
    </w:p>
    <w:p>
      <w:r>
        <w:br w:type="page"/>
      </w:r>
    </w:p>
    <w:p>
      <w:pPr>
        <w:pStyle w:val="Heading1"/>
      </w:pPr>
      <w:r>
        <w:t xml:space="preserve">2. Motivation and Hypothesis</w:t>
      </w:r>
    </w:p>
    <w:p>
      <w:pPr>
        <w:pStyle w:val="Heading2"/>
      </w:pPr>
      <w:r>
        <w:t xml:space="preserve">2.1 The Dual-Anchor Question</w:t>
      </w:r>
    </w:p>
    <w:p>
      <w:pPr>
        <w:spacing w:after="80" w:before="80"/>
        <w:jc w:val="left"/>
      </w:pPr>
      <w:r>
        <w:rPr>
          <w:rFonts w:ascii="Arial" w:cs="Arial" w:eastAsia="Arial" w:hAnsi="Arial"/>
          <w:b w:val="false"/>
          <w:bCs w:val="false"/>
          <w:i w:val="false"/>
          <w:iCs w:val="false"/>
          <w:color w:val="333333"/>
          <w:sz w:val="22"/>
          <w:szCs w:val="22"/>
        </w:rPr>
        <w:t xml:space="preserve">Prior experiments in the HUF programme (EXP-01 through EXP-14) established the Higgins Fixed-Point Selection Principle (HFSP) across 75 systems in domains from nuclear binding energies to cryptocurrency volatility. All previous tests operated on MATTER-domain compositions: oxide weight fractions, isotope abundances, elemental ratios. The open question was whether the same CoDa decomposition holds when the composition arises from ENERGY-domain physics — specifically, the electron density distribution as probed by X-ray diffraction.</w:t>
      </w:r>
    </w:p>
    <w:p>
      <w:pPr>
        <w:spacing w:after="80" w:before="80"/>
        <w:jc w:val="left"/>
      </w:pPr>
      <w:r>
        <w:rPr>
          <w:rFonts w:ascii="Arial" w:cs="Arial" w:eastAsia="Arial" w:hAnsi="Arial"/>
          <w:b w:val="false"/>
          <w:bCs w:val="false"/>
          <w:i w:val="false"/>
          <w:iCs w:val="false"/>
          <w:color w:val="333333"/>
          <w:sz w:val="22"/>
          <w:szCs w:val="22"/>
        </w:rPr>
        <w:t xml:space="preserve">In X-ray crystallography, each element contributes an atomic scattering factor f(s) that depends on the diffraction parameter s = sin(θ)/λ. The total scattering from a unit cell is a composition of these element-wise contributions. As s varies, the relative weights shift — heavy elements dominate at low s (forward scattering), while at high s the contributions converge. This creates a natural compositional trajectory on the simplex, governed by quantum-mechanical electron distributions rather than chemical abundances.</w:t>
      </w:r>
    </w:p>
    <w:p>
      <w:pPr>
        <w:pStyle w:val="Heading2"/>
      </w:pPr>
      <w:r>
        <w:t xml:space="preserve">2.2 Hypothesis</w:t>
      </w:r>
    </w:p>
    <w:p>
      <w:pPr>
        <w:spacing w:after="80" w:before="80"/>
        <w:jc w:val="left"/>
      </w:pPr>
      <w:r>
        <w:rPr>
          <w:rFonts w:ascii="Arial" w:cs="Arial" w:eastAsia="Arial" w:hAnsi="Arial"/>
          <w:b w:val="false"/>
          <w:bCs w:val="false"/>
          <w:i w:val="false"/>
          <w:iCs w:val="false"/>
          <w:color w:val="333333"/>
          <w:sz w:val="22"/>
          <w:szCs w:val="22"/>
        </w:rPr>
        <w:t xml:space="preserve">If the Higgins Decomposition captures universal structure in compositional trajectories, then the Aitchison variance σ²_A computed from scattering factor compositions should exhibit the same PLL parabola diagnostic as matter-domain compositions. Crystals with high compositional contrast (many elements, large Z differences) should produce bowl-shaped parabolas; crystals with low contrast should anti-lock. The super squeeze should find reciprocal constant pairs from the same 28-constant library used in all prior experiments.</w:t>
      </w:r>
    </w:p>
    <w:p>
      <w:r>
        <w:br w:type="page"/>
      </w:r>
    </w:p>
    <w:p>
      <w:pPr>
        <w:pStyle w:val="Heading1"/>
      </w:pPr>
      <w:r>
        <w:t xml:space="preserve">3. Method</w:t>
      </w:r>
    </w:p>
    <w:p>
      <w:pPr>
        <w:pStyle w:val="Heading2"/>
      </w:pPr>
      <w:r>
        <w:t xml:space="preserve">3.1 Data Source</w:t>
      </w:r>
    </w:p>
    <w:p>
      <w:pPr>
        <w:spacing w:after="80" w:before="80"/>
        <w:jc w:val="left"/>
      </w:pPr>
      <w:r>
        <w:rPr>
          <w:rFonts w:ascii="Arial" w:cs="Arial" w:eastAsia="Arial" w:hAnsi="Arial"/>
          <w:b w:val="false"/>
          <w:bCs w:val="false"/>
          <w:i w:val="false"/>
          <w:iCs w:val="false"/>
          <w:color w:val="333333"/>
          <w:sz w:val="22"/>
          <w:szCs w:val="22"/>
        </w:rPr>
        <w:t xml:space="preserve">Cromer–Mann scattering factor coefficients for 17 elements (Na, Cl, O, Si, Al, Fe, Mg, Ca, K, Ti, Mn, C, N, H, P, S, F) were taken from the International Tables for Crystallography, Volume C, Table 6.1.1.4. Each element’s scattering factor is parameterised as:</w:t>
      </w:r>
    </w:p>
    <w:p>
      <w:pPr>
        <w:spacing w:after="200" w:before="200"/>
        <w:jc w:val="center"/>
      </w:pPr>
      <w:r>
        <w:rPr>
          <w:rFonts w:ascii="Cambria" w:cs="Cambria" w:eastAsia="Cambria" w:hAnsi="Cambria"/>
          <w:i/>
          <w:iCs/>
          <w:color w:val="1E2761"/>
          <w:sz w:val="26"/>
          <w:szCs w:val="26"/>
        </w:rPr>
        <w:t xml:space="preserve">f(s) = ∑ aᵢ exp(−bᵢ s²) + c</w:t>
      </w:r>
    </w:p>
    <w:p>
      <w:pPr>
        <w:spacing w:after="80" w:before="80"/>
        <w:jc w:val="left"/>
      </w:pPr>
      <w:r>
        <w:rPr>
          <w:rFonts w:ascii="Arial" w:cs="Arial" w:eastAsia="Arial" w:hAnsi="Arial"/>
          <w:b w:val="false"/>
          <w:bCs w:val="false"/>
          <w:i w:val="false"/>
          <w:iCs w:val="false"/>
          <w:color w:val="333333"/>
          <w:sz w:val="22"/>
          <w:szCs w:val="22"/>
        </w:rPr>
        <w:t xml:space="preserve">where s = sin(θ)/λ in Å⁻¹, and the four (aᵢ, bᵢ) pairs plus constant c are tabulated per element.</w:t>
      </w:r>
    </w:p>
    <w:p>
      <w:pPr>
        <w:pStyle w:val="Heading2"/>
      </w:pPr>
      <w:r>
        <w:t xml:space="preserve">3.2 Test Crystals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800"/>
        <w:gridCol w:w="1800"/>
        <w:gridCol w:w="1720"/>
      </w:tblGrid>
      <w:tr>
        <w:tc>
          <w:tcPr>
            <w:tcW w:type="dxa" w:w="220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pPr>
              <w:jc w:val="left"/>
            </w:pPr>
            <w:r>
              <w:rPr>
                <w:rFonts w:ascii="Arial" w:cs="Arial" w:eastAsia="Arial" w:hAnsi="Arial"/>
                <w:b/>
                <w:bCs/>
                <w:i w:val="false"/>
                <w:iCs w:val="false"/>
                <w:color w:val="FFFFFF"/>
                <w:sz w:val="20"/>
                <w:szCs w:val="20"/>
              </w:rPr>
              <w:t xml:space="preserve">Crystal</w:t>
            </w:r>
          </w:p>
        </w:tc>
        <w:tc>
          <w:tcPr>
            <w:tcW w:type="dxa" w:w="220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pPr>
              <w:jc w:val="left"/>
            </w:pPr>
            <w:r>
              <w:rPr>
                <w:rFonts w:ascii="Arial" w:cs="Arial" w:eastAsia="Arial" w:hAnsi="Arial"/>
                <w:b/>
                <w:bCs/>
                <w:i w:val="false"/>
                <w:iCs w:val="false"/>
                <w:color w:val="FFFFFF"/>
                <w:sz w:val="20"/>
                <w:szCs w:val="20"/>
              </w:rPr>
              <w:t xml:space="preserve">Formula</w:t>
            </w:r>
          </w:p>
        </w:tc>
        <w:tc>
          <w:tcPr>
            <w:tcW w:type="dxa" w:w="180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pPr>
              <w:jc w:val="left"/>
            </w:pPr>
            <w:r>
              <w:rPr>
                <w:rFonts w:ascii="Arial" w:cs="Arial" w:eastAsia="Arial" w:hAnsi="Arial"/>
                <w:b/>
                <w:bCs/>
                <w:i w:val="false"/>
                <w:iCs w:val="false"/>
                <w:color w:val="FFFFFF"/>
                <w:sz w:val="20"/>
                <w:szCs w:val="20"/>
              </w:rPr>
              <w:t xml:space="preserve">Type</w:t>
            </w:r>
          </w:p>
        </w:tc>
        <w:tc>
          <w:tcPr>
            <w:tcW w:type="dxa" w:w="180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pPr>
              <w:jc w:val="left"/>
            </w:pPr>
            <w:r>
              <w:rPr>
                <w:rFonts w:ascii="Arial" w:cs="Arial" w:eastAsia="Arial" w:hAnsi="Arial"/>
                <w:b/>
                <w:bCs/>
                <w:i w:val="false"/>
                <w:iCs w:val="false"/>
                <w:color w:val="FFFFFF"/>
                <w:sz w:val="20"/>
                <w:szCs w:val="20"/>
              </w:rPr>
              <w:t xml:space="preserve">Elements</w:t>
            </w:r>
          </w:p>
        </w:tc>
        <w:tc>
          <w:tcPr>
            <w:tcW w:type="dxa" w:w="172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pPr>
              <w:jc w:val="center"/>
            </w:pPr>
            <w:r>
              <w:rPr>
                <w:rFonts w:ascii="Arial" w:cs="Arial" w:eastAsia="Arial" w:hAnsi="Arial"/>
                <w:b/>
                <w:bCs/>
                <w:i w:val="false"/>
                <w:iCs w:val="false"/>
                <w:color w:val="FFFFFF"/>
                <w:sz w:val="20"/>
                <w:szCs w:val="20"/>
              </w:rPr>
              <w:t xml:space="preserve">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Halite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i/>
                <w:iCs/>
                <w:color w:val="000000"/>
                <w:sz w:val="20"/>
                <w:szCs w:val="20"/>
              </w:rPr>
              <w:t xml:space="preserve">NaCl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Simple ionic</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Na, Cl</w:t>
            </w:r>
          </w:p>
        </w:tc>
        <w:tc>
          <w:tcPr>
            <w:tcW w:type="dxa" w:w="17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2</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Olivine Fo90</w:t>
            </w:r>
          </w:p>
        </w:tc>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iCs/>
                <w:color w:val="000000"/>
                <w:sz w:val="20"/>
                <w:szCs w:val="20"/>
              </w:rPr>
              <w:t xml:space="preserve">Mg₁.₈Fe₀.₂SiO₄</w:t>
            </w:r>
          </w:p>
        </w:tc>
        <w:tc>
          <w:tcPr>
            <w:tcW w:type="dxa" w:w="18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Nesosilicate</w:t>
            </w:r>
          </w:p>
        </w:tc>
        <w:tc>
          <w:tcPr>
            <w:tcW w:type="dxa" w:w="18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Mg, Fe, Si, O</w:t>
            </w:r>
          </w:p>
        </w:tc>
        <w:tc>
          <w:tcPr>
            <w:tcW w:type="dxa" w:w="17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4</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Quartz</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i/>
                <w:iCs/>
                <w:color w:val="000000"/>
                <w:sz w:val="20"/>
                <w:szCs w:val="20"/>
              </w:rPr>
              <w:t xml:space="preserve">SiO₂</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Tectosilicate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Si, O</w:t>
            </w:r>
          </w:p>
        </w:tc>
        <w:tc>
          <w:tcPr>
            <w:tcW w:type="dxa" w:w="17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2</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Almandine</w:t>
            </w:r>
          </w:p>
        </w:tc>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iCs/>
                <w:color w:val="000000"/>
                <w:sz w:val="20"/>
                <w:szCs w:val="20"/>
              </w:rPr>
              <w:t xml:space="preserve">Fe₃Al₂Si₃O₁₂</w:t>
            </w:r>
          </w:p>
        </w:tc>
        <w:tc>
          <w:tcPr>
            <w:tcW w:type="dxa" w:w="18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Nesosilicate</w:t>
            </w:r>
          </w:p>
        </w:tc>
        <w:tc>
          <w:tcPr>
            <w:tcW w:type="dxa" w:w="18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Fe, Al, Si, O</w:t>
            </w:r>
          </w:p>
        </w:tc>
        <w:tc>
          <w:tcPr>
            <w:tcW w:type="dxa" w:w="17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4</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Calcite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i/>
                <w:iCs/>
                <w:color w:val="000000"/>
                <w:sz w:val="20"/>
                <w:szCs w:val="20"/>
              </w:rPr>
              <w:t xml:space="preserve">CaCO₃</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Carbonate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Ca, C, O</w:t>
            </w:r>
          </w:p>
        </w:tc>
        <w:tc>
          <w:tcPr>
            <w:tcW w:type="dxa" w:w="17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3</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Perovskite</w:t>
            </w:r>
          </w:p>
        </w:tc>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iCs/>
                <w:color w:val="000000"/>
                <w:sz w:val="20"/>
                <w:szCs w:val="20"/>
              </w:rPr>
              <w:t xml:space="preserve">CaTiO₃</w:t>
            </w:r>
          </w:p>
        </w:tc>
        <w:tc>
          <w:tcPr>
            <w:tcW w:type="dxa" w:w="18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Oxide</w:t>
            </w:r>
          </w:p>
        </w:tc>
        <w:tc>
          <w:tcPr>
            <w:tcW w:type="dxa" w:w="18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Ca, Ti, O</w:t>
            </w:r>
          </w:p>
        </w:tc>
        <w:tc>
          <w:tcPr>
            <w:tcW w:type="dxa" w:w="17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3</w:t>
            </w:r>
          </w:p>
        </w:tc>
      </w:tr>
    </w:tbl>
    <w:p>
      <w:pPr>
        <w:pStyle w:val="Heading2"/>
      </w:pPr>
      <w:r>
        <w:t xml:space="preserve">3.3 The 10-Step Process</w:t>
      </w:r>
    </w:p>
    <w:p>
      <w:pPr>
        <w:spacing w:after="80" w:before="80"/>
        <w:jc w:val="left"/>
      </w:pPr>
      <w:r>
        <w:rPr>
          <w:rFonts w:ascii="Arial" w:cs="Arial" w:eastAsia="Arial" w:hAnsi="Arial"/>
          <w:b w:val="false"/>
          <w:bCs w:val="false"/>
          <w:i w:val="false"/>
          <w:iCs w:val="false"/>
          <w:color w:val="333333"/>
          <w:sz w:val="22"/>
          <w:szCs w:val="22"/>
        </w:rPr>
        <w:t xml:space="preserve">Each crystal was processed through the standard Higgins Decomposition pipeline: (1) compute element-wise f(s) at 200 s-values; (2) close to simplex compositions; (3) compute CLR transform; (4) compute Aitchison variance σ²_A and Shannon entropy H at each s; (5) fit PLL parabola (σ²_A vs s); (6) identify anchors (forward scattering, structural minimum, Bragg maximum gradient); (7) compute Aitchison distances from anchors; (8) fit PLL on anchor distances; (9) run 28-constant super squeeze; (10) pairwise balance analysis for D ≥ 3 systems.</w:t>
      </w:r>
    </w:p>
    <w:p>
      <w:r>
        <w:br w:type="page"/>
      </w:r>
    </w:p>
    <w:p>
      <w:pPr>
        <w:pStyle w:val="Heading1"/>
      </w:pPr>
      <w:r>
        <w:t xml:space="preserve">4. Results Overview</w:t>
      </w:r>
    </w:p>
    <w:p>
      <w:pPr>
        <w:pStyle w:val="Heading2"/>
      </w:pPr>
      <w:r>
        <w:t xml:space="preserve">4.1 PLL Diagnostic Summary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1600"/>
        <w:gridCol w:w="1400"/>
        <w:gridCol w:w="2020"/>
      </w:tblGrid>
      <w:tr>
        <w:tc>
          <w:tcPr>
            <w:tcW w:type="dxa" w:w="210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pPr>
              <w:jc w:val="left"/>
            </w:pPr>
            <w:r>
              <w:rPr>
                <w:rFonts w:ascii="Arial" w:cs="Arial" w:eastAsia="Arial" w:hAnsi="Arial"/>
                <w:b/>
                <w:bCs/>
                <w:i w:val="false"/>
                <w:iCs w:val="false"/>
                <w:color w:val="FFFFFF"/>
                <w:sz w:val="20"/>
                <w:szCs w:val="20"/>
              </w:rPr>
              <w:t xml:space="preserve">Crystal</w:t>
            </w:r>
          </w:p>
        </w:tc>
        <w:tc>
          <w:tcPr>
            <w:tcW w:type="dxa" w:w="130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pPr>
              <w:jc w:val="center"/>
            </w:pPr>
            <w:r>
              <w:rPr>
                <w:rFonts w:ascii="Arial" w:cs="Arial" w:eastAsia="Arial" w:hAnsi="Arial"/>
                <w:b/>
                <w:bCs/>
                <w:i w:val="false"/>
                <w:iCs w:val="false"/>
                <w:color w:val="FFFFFF"/>
                <w:sz w:val="20"/>
                <w:szCs w:val="20"/>
              </w:rPr>
              <w:t xml:space="preserve">R²</w:t>
            </w:r>
          </w:p>
        </w:tc>
        <w:tc>
          <w:tcPr>
            <w:tcW w:type="dxa" w:w="130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pPr>
              <w:jc w:val="center"/>
            </w:pPr>
            <w:r>
              <w:rPr>
                <w:rFonts w:ascii="Arial" w:cs="Arial" w:eastAsia="Arial" w:hAnsi="Arial"/>
                <w:b/>
                <w:bCs/>
                <w:i w:val="false"/>
                <w:iCs w:val="false"/>
                <w:color w:val="FFFFFF"/>
                <w:sz w:val="20"/>
                <w:szCs w:val="20"/>
              </w:rPr>
              <w:t xml:space="preserve">Shape</w:t>
            </w:r>
          </w:p>
        </w:tc>
        <w:tc>
          <w:tcPr>
            <w:tcW w:type="dxa" w:w="160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pPr>
              <w:jc w:val="center"/>
            </w:pPr>
            <w:r>
              <w:rPr>
                <w:rFonts w:ascii="Arial" w:cs="Arial" w:eastAsia="Arial" w:hAnsi="Arial"/>
                <w:b/>
                <w:bCs/>
                <w:i w:val="false"/>
                <w:iCs w:val="false"/>
                <w:color w:val="FFFFFF"/>
                <w:sz w:val="20"/>
                <w:szCs w:val="20"/>
              </w:rPr>
              <w:t xml:space="preserve">Vertex s</w:t>
            </w:r>
          </w:p>
        </w:tc>
        <w:tc>
          <w:tcPr>
            <w:tcW w:type="dxa" w:w="140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pPr>
              <w:jc w:val="center"/>
            </w:pPr>
            <w:r>
              <w:rPr>
                <w:rFonts w:ascii="Arial" w:cs="Arial" w:eastAsia="Arial" w:hAnsi="Arial"/>
                <w:b/>
                <w:bCs/>
                <w:i w:val="false"/>
                <w:iCs w:val="false"/>
                <w:color w:val="FFFFFF"/>
                <w:sz w:val="20"/>
                <w:szCs w:val="20"/>
              </w:rPr>
              <w:t xml:space="preserve">Squeezes</w:t>
            </w:r>
          </w:p>
        </w:tc>
        <w:tc>
          <w:tcPr>
            <w:tcW w:type="dxa" w:w="202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pPr>
              <w:jc w:val="center"/>
            </w:pPr>
            <w:r>
              <w:rPr>
                <w:rFonts w:ascii="Arial" w:cs="Arial" w:eastAsia="Arial" w:hAnsi="Arial"/>
                <w:b/>
                <w:bCs/>
                <w:i w:val="false"/>
                <w:iCs w:val="false"/>
                <w:color w:val="FFFFFF"/>
                <w:sz w:val="20"/>
                <w:szCs w:val="20"/>
              </w:rPr>
              <w:t xml:space="preserve">Best δ</w:t>
            </w:r>
          </w:p>
        </w:tc>
      </w:tr>
      <w:tr>
        <w:tc>
          <w:tcPr>
            <w:tcW w:type="dxa" w:w="21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Halite (NaCl)</w:t>
            </w:r>
          </w:p>
        </w:tc>
        <w:tc>
          <w:tcPr>
            <w:tcW w:type="dxa" w:w="13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0.7704</w:t>
            </w:r>
          </w:p>
        </w:tc>
        <w:tc>
          <w:tcPr>
            <w:tcW w:type="dxa" w:w="13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center"/>
            </w:pPr>
            <w:r>
              <w:rPr>
                <w:rFonts w:ascii="Arial" w:cs="Arial" w:eastAsia="Arial" w:hAnsi="Arial"/>
                <w:b/>
                <w:bCs/>
                <w:i w:val="false"/>
                <w:iCs w:val="false"/>
                <w:color w:val="C62828"/>
                <w:sz w:val="20"/>
                <w:szCs w:val="20"/>
              </w:rPr>
              <w:t xml:space="preserve">✗ HILL</w:t>
            </w:r>
          </w:p>
        </w:tc>
        <w:tc>
          <w:tcPr>
            <w:tcW w:type="dxa" w:w="16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1.8109</w:t>
            </w:r>
          </w:p>
        </w:tc>
        <w:tc>
          <w:tcPr>
            <w:tcW w:type="dxa" w:w="14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12</w:t>
            </w:r>
          </w:p>
        </w:tc>
        <w:tc>
          <w:tcPr>
            <w:tcW w:type="dxa" w:w="202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0.00039</w:t>
            </w:r>
          </w:p>
        </w:tc>
      </w:tr>
      <w:tr>
        <w:tc>
          <w:tcPr>
            <w:tcW w:type="dxa" w:w="21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Olivine Fo90</w:t>
            </w:r>
          </w:p>
        </w:tc>
        <w:tc>
          <w:tcPr>
            <w:tcW w:type="dxa" w:w="13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0.9919</w:t>
            </w:r>
          </w:p>
        </w:tc>
        <w:tc>
          <w:tcPr>
            <w:tcW w:type="dxa" w:w="13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pPr>
              <w:jc w:val="center"/>
            </w:pPr>
            <w:r>
              <w:rPr>
                <w:rFonts w:ascii="Arial" w:cs="Arial" w:eastAsia="Arial" w:hAnsi="Arial"/>
                <w:b/>
                <w:bCs/>
                <w:i w:val="false"/>
                <w:iCs w:val="false"/>
                <w:color w:val="2E7D32"/>
                <w:sz w:val="20"/>
                <w:szCs w:val="20"/>
              </w:rPr>
              <w:t xml:space="preserve">✓ BOWL</w:t>
            </w:r>
          </w:p>
        </w:tc>
        <w:tc>
          <w:tcPr>
            <w:tcW w:type="dxa" w:w="16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1.0031</w:t>
            </w:r>
          </w:p>
        </w:tc>
        <w:tc>
          <w:tcPr>
            <w:tcW w:type="dxa" w:w="14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10</w:t>
            </w:r>
          </w:p>
        </w:tc>
        <w:tc>
          <w:tcPr>
            <w:tcW w:type="dxa" w:w="202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0.00107</w:t>
            </w:r>
          </w:p>
        </w:tc>
      </w:tr>
      <w:tr>
        <w:tc>
          <w:tcPr>
            <w:tcW w:type="dxa" w:w="21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Quartz (SiO₂)</w:t>
            </w:r>
          </w:p>
        </w:tc>
        <w:tc>
          <w:tcPr>
            <w:tcW w:type="dxa" w:w="13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0.3421</w:t>
            </w:r>
          </w:p>
        </w:tc>
        <w:tc>
          <w:tcPr>
            <w:tcW w:type="dxa" w:w="13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center"/>
            </w:pPr>
            <w:r>
              <w:rPr>
                <w:rFonts w:ascii="Arial" w:cs="Arial" w:eastAsia="Arial" w:hAnsi="Arial"/>
                <w:b/>
                <w:bCs/>
                <w:i w:val="false"/>
                <w:iCs w:val="false"/>
                <w:color w:val="C62828"/>
                <w:sz w:val="20"/>
                <w:szCs w:val="20"/>
              </w:rPr>
              <w:t xml:space="preserve">✗ HILL</w:t>
            </w:r>
          </w:p>
        </w:tc>
        <w:tc>
          <w:tcPr>
            <w:tcW w:type="dxa" w:w="16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0.5665</w:t>
            </w:r>
          </w:p>
        </w:tc>
        <w:tc>
          <w:tcPr>
            <w:tcW w:type="dxa" w:w="14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11</w:t>
            </w:r>
          </w:p>
        </w:tc>
        <w:tc>
          <w:tcPr>
            <w:tcW w:type="dxa" w:w="202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0.00117</w:t>
            </w:r>
          </w:p>
        </w:tc>
      </w:tr>
      <w:tr>
        <w:tc>
          <w:tcPr>
            <w:tcW w:type="dxa" w:w="21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Almandine Garnet</w:t>
            </w:r>
          </w:p>
        </w:tc>
        <w:tc>
          <w:tcPr>
            <w:tcW w:type="dxa" w:w="13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0.9029</w:t>
            </w:r>
          </w:p>
        </w:tc>
        <w:tc>
          <w:tcPr>
            <w:tcW w:type="dxa" w:w="13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pPr>
              <w:jc w:val="center"/>
            </w:pPr>
            <w:r>
              <w:rPr>
                <w:rFonts w:ascii="Arial" w:cs="Arial" w:eastAsia="Arial" w:hAnsi="Arial"/>
                <w:b/>
                <w:bCs/>
                <w:i w:val="false"/>
                <w:iCs w:val="false"/>
                <w:color w:val="2E7D32"/>
                <w:sz w:val="20"/>
                <w:szCs w:val="20"/>
              </w:rPr>
              <w:t xml:space="preserve">✓ BOWL</w:t>
            </w:r>
          </w:p>
        </w:tc>
        <w:tc>
          <w:tcPr>
            <w:tcW w:type="dxa" w:w="16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0.5165</w:t>
            </w:r>
          </w:p>
        </w:tc>
        <w:tc>
          <w:tcPr>
            <w:tcW w:type="dxa" w:w="140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11</w:t>
            </w:r>
          </w:p>
        </w:tc>
        <w:tc>
          <w:tcPr>
            <w:tcW w:type="dxa" w:w="202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0.00066</w:t>
            </w:r>
          </w:p>
        </w:tc>
      </w:tr>
      <w:tr>
        <w:tc>
          <w:tcPr>
            <w:tcW w:type="dxa" w:w="21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Calcite (CaCO₃)</w:t>
            </w:r>
          </w:p>
        </w:tc>
        <w:tc>
          <w:tcPr>
            <w:tcW w:type="dxa" w:w="13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0.2628</w:t>
            </w:r>
          </w:p>
        </w:tc>
        <w:tc>
          <w:tcPr>
            <w:tcW w:type="dxa" w:w="13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center"/>
            </w:pPr>
            <w:r>
              <w:rPr>
                <w:rFonts w:ascii="Arial" w:cs="Arial" w:eastAsia="Arial" w:hAnsi="Arial"/>
                <w:b/>
                <w:bCs/>
                <w:i w:val="false"/>
                <w:iCs w:val="false"/>
                <w:color w:val="C62828"/>
                <w:sz w:val="20"/>
                <w:szCs w:val="20"/>
              </w:rPr>
              <w:t xml:space="preserve">✗ HILL</w:t>
            </w:r>
          </w:p>
        </w:tc>
        <w:tc>
          <w:tcPr>
            <w:tcW w:type="dxa" w:w="16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0.5931</w:t>
            </w:r>
          </w:p>
        </w:tc>
        <w:tc>
          <w:tcPr>
            <w:tcW w:type="dxa" w:w="14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23</w:t>
            </w:r>
          </w:p>
        </w:tc>
        <w:tc>
          <w:tcPr>
            <w:tcW w:type="dxa" w:w="202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0.00034</w:t>
            </w:r>
          </w:p>
        </w:tc>
      </w:tr>
      <w:tr>
        <w:tc>
          <w:tcPr>
            <w:tcW w:type="dxa" w:w="21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Perovskite (CaTiO₃)</w:t>
            </w:r>
          </w:p>
        </w:tc>
        <w:tc>
          <w:tcPr>
            <w:tcW w:type="dxa" w:w="13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0.6468</w:t>
            </w:r>
          </w:p>
        </w:tc>
        <w:tc>
          <w:tcPr>
            <w:tcW w:type="dxa" w:w="13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center"/>
            </w:pPr>
            <w:r>
              <w:rPr>
                <w:rFonts w:ascii="Arial" w:cs="Arial" w:eastAsia="Arial" w:hAnsi="Arial"/>
                <w:b/>
                <w:bCs/>
                <w:i w:val="false"/>
                <w:iCs w:val="false"/>
                <w:color w:val="C62828"/>
                <w:sz w:val="20"/>
                <w:szCs w:val="20"/>
              </w:rPr>
              <w:t xml:space="preserve">✗ HILL</w:t>
            </w:r>
          </w:p>
        </w:tc>
        <w:tc>
          <w:tcPr>
            <w:tcW w:type="dxa" w:w="16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0.9844</w:t>
            </w:r>
          </w:p>
        </w:tc>
        <w:tc>
          <w:tcPr>
            <w:tcW w:type="dxa" w:w="140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15</w:t>
            </w:r>
          </w:p>
        </w:tc>
        <w:tc>
          <w:tcPr>
            <w:tcW w:type="dxa" w:w="2020"/>
            <w:tcBorders>
              <w:top w:val="single" w:color="CCCCCC" w:sz="1"/>
              <w:left w:val="single" w:color="CCCCCC" w:sz="1"/>
              <w:bottom w:val="single" w:color="CCCCCC" w:sz="1"/>
              <w:right w:val="single" w:color="CCCCCC" w:sz="1"/>
            </w:tcBorders>
            <w:shd w:fill="FFEBEE"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0.00186</w:t>
            </w:r>
          </w:p>
        </w:tc>
      </w:tr>
    </w:tbl>
    <w:p>
      <w:pPr>
        <w:spacing w:after="80" w:before="80"/>
        <w:jc w:val="left"/>
      </w:pPr>
      <w:r>
        <w:rPr>
          <w:rFonts w:ascii="Arial" w:cs="Arial" w:eastAsia="Arial" w:hAnsi="Arial"/>
          <w:b w:val="false"/>
          <w:bCs w:val="false"/>
          <w:i/>
          <w:iCs/>
          <w:color w:val="666666"/>
          <w:sz w:val="18"/>
          <w:szCs w:val="18"/>
        </w:rPr>
        <w:t xml:space="preserve">Green rows = bowl-shaped PLL with R² &gt; 0.8 (strong anchor). Yellow = bowl with moderate R². Red = hill-shaped (anti-lock).</w:t>
      </w:r>
    </w:p>
    <w:p>
      <w:pPr>
        <w:pStyle w:val="Heading2"/>
      </w:pPr>
      <w:r>
        <w:t xml:space="preserve">4.2 Super Squeeze Highlights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00"/>
        <w:gridCol w:w="1700"/>
        <w:gridCol w:w="1720"/>
      </w:tblGrid>
      <w:tr>
        <w:tc>
          <w:tcPr>
            <w:tcW w:type="dxa" w:w="190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pPr>
              <w:jc w:val="left"/>
            </w:pPr>
            <w:r>
              <w:rPr>
                <w:rFonts w:ascii="Arial" w:cs="Arial" w:eastAsia="Arial" w:hAnsi="Arial"/>
                <w:b/>
                <w:bCs/>
                <w:i w:val="false"/>
                <w:iCs w:val="false"/>
                <w:color w:val="FFFFFF"/>
                <w:sz w:val="20"/>
                <w:szCs w:val="20"/>
              </w:rPr>
              <w:t xml:space="preserve">Crystal</w:t>
            </w:r>
          </w:p>
        </w:tc>
        <w:tc>
          <w:tcPr>
            <w:tcW w:type="dxa" w:w="220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pPr>
              <w:jc w:val="left"/>
            </w:pPr>
            <w:r>
              <w:rPr>
                <w:rFonts w:ascii="Arial" w:cs="Arial" w:eastAsia="Arial" w:hAnsi="Arial"/>
                <w:b/>
                <w:bCs/>
                <w:i w:val="false"/>
                <w:iCs w:val="false"/>
                <w:color w:val="FFFFFF"/>
                <w:sz w:val="20"/>
                <w:szCs w:val="20"/>
              </w:rPr>
              <w:t xml:space="preserve">Input Constant</w:t>
            </w:r>
          </w:p>
        </w:tc>
        <w:tc>
          <w:tcPr>
            <w:tcW w:type="dxa" w:w="220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pPr>
              <w:jc w:val="left"/>
            </w:pPr>
            <w:r>
              <w:rPr>
                <w:rFonts w:ascii="Arial" w:cs="Arial" w:eastAsia="Arial" w:hAnsi="Arial"/>
                <w:b/>
                <w:bCs/>
                <w:i w:val="false"/>
                <w:iCs w:val="false"/>
                <w:color w:val="FFFFFF"/>
                <w:sz w:val="20"/>
                <w:szCs w:val="20"/>
              </w:rPr>
              <w:t xml:space="preserve">Output Match</w:t>
            </w:r>
          </w:p>
        </w:tc>
        <w:tc>
          <w:tcPr>
            <w:tcW w:type="dxa" w:w="170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pPr>
              <w:jc w:val="center"/>
            </w:pPr>
            <w:r>
              <w:rPr>
                <w:rFonts w:ascii="Arial" w:cs="Arial" w:eastAsia="Arial" w:hAnsi="Arial"/>
                <w:b/>
                <w:bCs/>
                <w:i w:val="false"/>
                <w:iCs w:val="false"/>
                <w:color w:val="FFFFFF"/>
                <w:sz w:val="20"/>
                <w:szCs w:val="20"/>
              </w:rPr>
              <w:t xml:space="preserve">δ</w:t>
            </w:r>
          </w:p>
        </w:tc>
        <w:tc>
          <w:tcPr>
            <w:tcW w:type="dxa" w:w="172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pPr>
              <w:jc w:val="center"/>
            </w:pPr>
            <w:r>
              <w:rPr>
                <w:rFonts w:ascii="Arial" w:cs="Arial" w:eastAsia="Arial" w:hAnsi="Arial"/>
                <w:b/>
                <w:bCs/>
                <w:i w:val="false"/>
                <w:iCs w:val="false"/>
                <w:color w:val="FFFFFF"/>
                <w:sz w:val="20"/>
                <w:szCs w:val="20"/>
              </w:rPr>
              <w:t xml:space="preserve">Rank</w:t>
            </w:r>
          </w:p>
        </w:tc>
      </w:tr>
      <w:tr>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Calcite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log₁₀(e) = 0.4343</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ln(2) = 0.6931</w:t>
            </w:r>
          </w:p>
        </w:tc>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Arial" w:cs="Arial" w:eastAsia="Arial" w:hAnsi="Arial"/>
                <w:b/>
                <w:bCs/>
                <w:i w:val="false"/>
                <w:iCs w:val="false"/>
                <w:color w:val="028090"/>
                <w:sz w:val="20"/>
                <w:szCs w:val="20"/>
              </w:rPr>
              <w:t xml:space="preserve">0.00034</w:t>
            </w:r>
          </w:p>
        </w:tc>
        <w:tc>
          <w:tcPr>
            <w:tcW w:type="dxa" w:w="17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1st</w:t>
            </w:r>
          </w:p>
        </w:tc>
      </w:tr>
      <w:tr>
        <w:tc>
          <w:tcPr>
            <w:tcW w:type="dxa" w:w="19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Halite</w:t>
            </w:r>
          </w:p>
        </w:tc>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e^(−π/4) = 0.4559</w:t>
            </w:r>
          </w:p>
        </w:tc>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log₁₀(e) = 0.4343</w:t>
            </w:r>
          </w:p>
        </w:tc>
        <w:tc>
          <w:tcPr>
            <w:tcW w:type="dxa" w:w="17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center"/>
            </w:pPr>
            <w:r>
              <w:rPr>
                <w:rFonts w:ascii="Arial" w:cs="Arial" w:eastAsia="Arial" w:hAnsi="Arial"/>
                <w:b/>
                <w:bCs/>
                <w:i w:val="false"/>
                <w:iCs w:val="false"/>
                <w:color w:val="028090"/>
                <w:sz w:val="20"/>
                <w:szCs w:val="20"/>
              </w:rPr>
              <w:t xml:space="preserve">0.00039</w:t>
            </w:r>
          </w:p>
        </w:tc>
        <w:tc>
          <w:tcPr>
            <w:tcW w:type="dxa" w:w="17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2nd</w:t>
            </w:r>
          </w:p>
        </w:tc>
      </w:tr>
      <w:tr>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Almandine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2/3</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log₁₀(2) = 0.3010</w:t>
            </w:r>
          </w:p>
        </w:tc>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Arial" w:cs="Arial" w:eastAsia="Arial" w:hAnsi="Arial"/>
                <w:b/>
                <w:bCs/>
                <w:i w:val="false"/>
                <w:iCs w:val="false"/>
                <w:color w:val="028090"/>
                <w:sz w:val="20"/>
                <w:szCs w:val="20"/>
              </w:rPr>
              <w:t xml:space="preserve">0.00066</w:t>
            </w:r>
          </w:p>
        </w:tc>
        <w:tc>
          <w:tcPr>
            <w:tcW w:type="dxa" w:w="17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3rd</w:t>
            </w:r>
          </w:p>
        </w:tc>
      </w:tr>
      <w:tr>
        <w:tc>
          <w:tcPr>
            <w:tcW w:type="dxa" w:w="19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Halite</w:t>
            </w:r>
          </w:p>
        </w:tc>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2/π = 0.6366</w:t>
            </w:r>
          </w:p>
        </w:tc>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G_Cat = 0.9160</w:t>
            </w:r>
          </w:p>
        </w:tc>
        <w:tc>
          <w:tcPr>
            <w:tcW w:type="dxa" w:w="17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center"/>
            </w:pPr>
            <w:r>
              <w:rPr>
                <w:rFonts w:ascii="Arial" w:cs="Arial" w:eastAsia="Arial" w:hAnsi="Arial"/>
                <w:b/>
                <w:bCs/>
                <w:i w:val="false"/>
                <w:iCs w:val="false"/>
                <w:color w:val="028090"/>
                <w:sz w:val="20"/>
                <w:szCs w:val="20"/>
              </w:rPr>
              <w:t xml:space="preserve">0.00057</w:t>
            </w:r>
          </w:p>
        </w:tc>
        <w:tc>
          <w:tcPr>
            <w:tcW w:type="dxa" w:w="17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4th</w:t>
            </w:r>
          </w:p>
        </w:tc>
      </w:tr>
      <w:tr>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Olivine Fo90</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√2−1 = 0.4142</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1/4 = 0.2500</w:t>
            </w:r>
          </w:p>
        </w:tc>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Arial" w:cs="Arial" w:eastAsia="Arial" w:hAnsi="Arial"/>
                <w:b/>
                <w:bCs/>
                <w:i w:val="false"/>
                <w:iCs w:val="false"/>
                <w:color w:val="028090"/>
                <w:sz w:val="20"/>
                <w:szCs w:val="20"/>
              </w:rPr>
              <w:t xml:space="preserve">0.00107</w:t>
            </w:r>
          </w:p>
        </w:tc>
        <w:tc>
          <w:tcPr>
            <w:tcW w:type="dxa" w:w="17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5th</w:t>
            </w:r>
          </w:p>
        </w:tc>
      </w:tr>
      <w:tr>
        <w:tc>
          <w:tcPr>
            <w:tcW w:type="dxa" w:w="19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Quartz</w:t>
            </w:r>
          </w:p>
        </w:tc>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1/3</w:t>
            </w:r>
          </w:p>
        </w:tc>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1/e = 0.3679</w:t>
            </w:r>
          </w:p>
        </w:tc>
        <w:tc>
          <w:tcPr>
            <w:tcW w:type="dxa" w:w="17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center"/>
            </w:pPr>
            <w:r>
              <w:rPr>
                <w:rFonts w:ascii="Arial" w:cs="Arial" w:eastAsia="Arial" w:hAnsi="Arial"/>
                <w:b/>
                <w:bCs/>
                <w:i w:val="false"/>
                <w:iCs w:val="false"/>
                <w:color w:val="028090"/>
                <w:sz w:val="20"/>
                <w:szCs w:val="20"/>
              </w:rPr>
              <w:t xml:space="preserve">0.00117</w:t>
            </w:r>
          </w:p>
        </w:tc>
        <w:tc>
          <w:tcPr>
            <w:tcW w:type="dxa" w:w="17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center"/>
            </w:pPr>
            <w:r>
              <w:rPr>
                <w:rFonts w:ascii="Arial" w:cs="Arial" w:eastAsia="Arial" w:hAnsi="Arial"/>
                <w:b w:val="false"/>
                <w:bCs w:val="false"/>
                <w:i w:val="false"/>
                <w:iCs w:val="false"/>
                <w:color w:val="000000"/>
                <w:sz w:val="20"/>
                <w:szCs w:val="20"/>
              </w:rPr>
              <w:t xml:space="preserve">6th</w:t>
            </w:r>
          </w:p>
        </w:tc>
      </w:tr>
    </w:tbl>
    <w:p>
      <w:pPr>
        <w:spacing w:after="80" w:before="80"/>
        <w:jc w:val="left"/>
      </w:pPr>
      <w:r>
        <w:rPr>
          <w:rFonts w:ascii="Arial" w:cs="Arial" w:eastAsia="Arial" w:hAnsi="Arial"/>
          <w:b w:val="false"/>
          <w:bCs w:val="false"/>
          <w:i/>
          <w:iCs/>
          <w:color w:val="666666"/>
          <w:sz w:val="18"/>
          <w:szCs w:val="18"/>
        </w:rPr>
        <w:t xml:space="preserve">82 total reciprocal matches found across all six crystals. Top 6 shown. The Calcite log₁₀(e) → ln(2) match (δ = 0.00034) is the second-tightest in the entire HUF programme, after the intermediate rocks 1/π → φ² at δ = 0.00003.</w:t>
      </w:r>
    </w:p>
    <w:p>
      <w:r>
        <w:br w:type="page"/>
      </w:r>
    </w:p>
    <w:p>
      <w:pPr>
        <w:pStyle w:val="Heading1"/>
      </w:pPr>
      <w:r>
        <w:t xml:space="preserve">5. Crystal-by-Crystal Analysis</w:t>
      </w:r>
    </w:p>
    <w:p>
      <w:pPr>
        <w:pStyle w:val="Heading2"/>
      </w:pPr>
      <w:r>
        <w:t xml:space="preserve">5.1 Olivine Fo90 — The Strongest Signal</w:t>
      </w:r>
    </w:p>
    <w:p>
      <w:pPr>
        <w:spacing w:after="80" w:before="80"/>
        <w:jc w:val="left"/>
      </w:pPr>
      <w:r>
        <w:rPr>
          <w:rFonts w:ascii="Arial" w:cs="Arial" w:eastAsia="Arial" w:hAnsi="Arial"/>
          <w:b/>
          <w:bCs/>
          <w:i w:val="false"/>
          <w:iCs w:val="false"/>
          <w:color w:val="2E7D32"/>
          <w:sz w:val="22"/>
          <w:szCs w:val="22"/>
        </w:rPr>
        <w:t xml:space="preserve">PLL(σ²_A vs s): R² = 0.992, BOWL</w:t>
      </w:r>
      <w:r>
        <w:rPr>
          <w:rFonts w:ascii="Arial" w:cs="Arial" w:eastAsia="Arial" w:hAnsi="Arial"/>
          <w:b w:val="false"/>
          <w:bCs w:val="false"/>
          <w:i w:val="false"/>
          <w:iCs w:val="false"/>
          <w:color w:val="333333"/>
          <w:sz w:val="22"/>
          <w:szCs w:val="22"/>
        </w:rPr>
        <w:t xml:space="preserve"> — the tightest PLL fit in the batch and among the strongest in the entire HUF programme. The Mg-Fe solid solution creates the compositional contrast needed for a clear anchor. Iron (Z=26) dominates at low s while oxygen (Z=8) contributes proportionally more at high s, generating a wide compositional trajectory on the 4-simplex.</w:t>
      </w:r>
    </w:p>
    <w:p>
      <w:pPr>
        <w:spacing w:after="80" w:before="80"/>
        <w:jc w:val="left"/>
      </w:pPr>
      <w:r>
        <w:rPr>
          <w:rFonts w:ascii="Arial" w:cs="Arial" w:eastAsia="Arial" w:hAnsi="Arial"/>
          <w:b w:val="false"/>
          <w:bCs w:val="false"/>
          <w:i w:val="false"/>
          <w:iCs w:val="false"/>
          <w:color w:val="333333"/>
          <w:sz w:val="22"/>
          <w:szCs w:val="22"/>
        </w:rPr>
        <w:t xml:space="preserve">The vertex at s = 1.003 Å⁻¹ corresponds to a Bragg angle of approximately 30° at Cu Kα wavelength — well within the standard diffraction measurement range. The pairwise balance ln(Fe/O) produces the best sub-diagnostic at R² = 0.888, bowl, confirming that the Fe–O scattering contrast is the physical driver.</w:t>
      </w:r>
    </w:p>
    <w:p>
      <w:pPr>
        <w:spacing w:after="80" w:before="80"/>
        <w:jc w:val="left"/>
      </w:pPr>
      <w:r>
        <w:rPr>
          <w:rFonts w:ascii="Arial" w:cs="Arial" w:eastAsia="Arial" w:hAnsi="Arial"/>
          <w:b w:val="false"/>
          <w:bCs w:val="false"/>
          <w:i w:val="false"/>
          <w:iCs w:val="false"/>
          <w:color w:val="333333"/>
          <w:sz w:val="22"/>
          <w:szCs w:val="22"/>
        </w:rPr>
        <w:t xml:space="preserve">The 1/π → φ² reciprocal pair that appeared in the intermediate rocks MATTER-domain test (EXP-14) is also present in the Olivine super squeeze at δ = 0.00123, demonstrating cross-domain persistence of the same mathematical structure.</w:t>
      </w:r>
    </w:p>
    <w:p>
      <w:pPr>
        <w:pStyle w:val="Heading2"/>
      </w:pPr>
      <w:r>
        <w:t xml:space="preserve">5.2 Almandine Garnet — Complex Structure Responds</w:t>
      </w:r>
    </w:p>
    <w:p>
      <w:pPr>
        <w:spacing w:after="80" w:before="80"/>
        <w:jc w:val="left"/>
      </w:pPr>
      <w:r>
        <w:rPr>
          <w:rFonts w:ascii="Arial" w:cs="Arial" w:eastAsia="Arial" w:hAnsi="Arial"/>
          <w:b/>
          <w:bCs/>
          <w:i w:val="false"/>
          <w:iCs w:val="false"/>
          <w:color w:val="2E7D32"/>
          <w:sz w:val="22"/>
          <w:szCs w:val="22"/>
        </w:rPr>
        <w:t xml:space="preserve">PLL(σ²_A vs s): R² = 0.903, BOWL</w:t>
      </w:r>
      <w:r>
        <w:rPr>
          <w:rFonts w:ascii="Arial" w:cs="Arial" w:eastAsia="Arial" w:hAnsi="Arial"/>
          <w:b w:val="false"/>
          <w:bCs w:val="false"/>
          <w:i w:val="false"/>
          <w:iCs w:val="false"/>
          <w:color w:val="333333"/>
          <w:sz w:val="22"/>
          <w:szCs w:val="22"/>
        </w:rPr>
        <w:t xml:space="preserve"> — the most chemically complex crystal (Fe₃Al₂Si₃O₁₂, D=4) gives the second-best fit. The structural Aitchison distance PLL is also a bowl (R² = 0.874), the only crystal where both anchor-distance metrics produce clean bowl structure.</w:t>
      </w:r>
    </w:p>
    <w:p>
      <w:pPr>
        <w:spacing w:after="80" w:before="80"/>
        <w:jc w:val="left"/>
      </w:pPr>
      <w:r>
        <w:rPr>
          <w:rFonts w:ascii="Arial" w:cs="Arial" w:eastAsia="Arial" w:hAnsi="Arial"/>
          <w:b w:val="false"/>
          <w:bCs w:val="false"/>
          <w:i w:val="false"/>
          <w:iCs w:val="false"/>
          <w:color w:val="333333"/>
          <w:sz w:val="22"/>
          <w:szCs w:val="22"/>
        </w:rPr>
        <w:t xml:space="preserve">The best pairwise driver is ln(Al/O) at R² = 0.818, bowl — aluminium and oxygen scattering factors evolve differently across s, creating a natural compositional axis. The super squeeze best match 2/3 → log₁₀(2) at δ = 0.00066 involves the same log₁₀(2) constant that appears in the Halite and Olivine results.</w:t>
      </w:r>
    </w:p>
    <w:p>
      <w:r>
        <w:br w:type="page"/>
      </w:r>
    </w:p>
    <w:p>
      <w:pPr>
        <w:pStyle w:val="Heading2"/>
      </w:pPr>
      <w:r>
        <w:t xml:space="preserve">5.3 Perovskite — Anti-Lock Broken by Pairwise Method</w:t>
      </w:r>
    </w:p>
    <w:p>
      <w:pPr>
        <w:spacing w:after="80" w:before="80"/>
        <w:jc w:val="left"/>
      </w:pPr>
      <w:r>
        <w:rPr>
          <w:rFonts w:ascii="Arial" w:cs="Arial" w:eastAsia="Arial" w:hAnsi="Arial"/>
          <w:b/>
          <w:bCs/>
          <w:i w:val="false"/>
          <w:iCs w:val="false"/>
          <w:color w:val="C62828"/>
          <w:sz w:val="22"/>
          <w:szCs w:val="22"/>
        </w:rPr>
        <w:t xml:space="preserve">PLL(σ²_A vs s): R² = 0.647, HILL</w:t>
      </w:r>
      <w:r>
        <w:rPr>
          <w:rFonts w:ascii="Arial" w:cs="Arial" w:eastAsia="Arial" w:hAnsi="Arial"/>
          <w:b w:val="false"/>
          <w:bCs w:val="false"/>
          <w:i w:val="false"/>
          <w:iCs w:val="false"/>
          <w:color w:val="333333"/>
          <w:sz w:val="22"/>
          <w:szCs w:val="22"/>
        </w:rPr>
        <w:t xml:space="preserve"> — the primary diagnostic anti-locks, but the pairwise balance method shatters this barrier:</w:t>
      </w:r>
    </w:p>
    <w:p>
      <w:pPr>
        <w:spacing w:after="80" w:before="80"/>
        <w:jc w:val="left"/>
      </w:pPr>
      <w:r>
        <w:rPr>
          <w:rFonts w:ascii="Arial" w:cs="Arial" w:eastAsia="Arial" w:hAnsi="Arial"/>
          <w:b/>
          <w:bCs/>
          <w:i w:val="false"/>
          <w:iCs w:val="false"/>
          <w:color w:val="2E7D32"/>
          <w:sz w:val="22"/>
          <w:szCs w:val="22"/>
        </w:rPr>
        <w:t xml:space="preserve">ln(Ti/O): R² = 0.995, BOWL</w:t>
      </w:r>
      <w:r>
        <w:rPr>
          <w:rFonts w:ascii="Arial" w:cs="Arial" w:eastAsia="Arial" w:hAnsi="Arial"/>
          <w:b w:val="false"/>
          <w:bCs w:val="false"/>
          <w:i w:val="false"/>
          <w:iCs w:val="false"/>
          <w:color w:val="333333"/>
          <w:sz w:val="22"/>
          <w:szCs w:val="22"/>
        </w:rPr>
        <w:t xml:space="preserve"> — near-perfect. </w:t>
      </w:r>
      <w:r>
        <w:rPr>
          <w:rFonts w:ascii="Arial" w:cs="Arial" w:eastAsia="Arial" w:hAnsi="Arial"/>
          <w:b/>
          <w:bCs/>
          <w:i w:val="false"/>
          <w:iCs w:val="false"/>
          <w:color w:val="2E7D32"/>
          <w:sz w:val="22"/>
          <w:szCs w:val="22"/>
        </w:rPr>
        <w:t xml:space="preserve">ln(Ca/O): R² = 0.981, BOWL</w:t>
      </w:r>
      <w:r>
        <w:rPr>
          <w:rFonts w:ascii="Arial" w:cs="Arial" w:eastAsia="Arial" w:hAnsi="Arial"/>
          <w:b w:val="false"/>
          <w:bCs w:val="false"/>
          <w:i w:val="false"/>
          <w:iCs w:val="false"/>
          <w:color w:val="333333"/>
          <w:sz w:val="22"/>
          <w:szCs w:val="22"/>
        </w:rPr>
        <w:t xml:space="preserve"> — also exceptional.</w:t>
      </w:r>
    </w:p>
    <w:p>
      <w:pPr>
        <w:spacing w:after="80" w:before="80"/>
        <w:jc w:val="left"/>
      </w:pPr>
      <w:r>
        <w:rPr>
          <w:rFonts w:ascii="Arial" w:cs="Arial" w:eastAsia="Arial" w:hAnsi="Arial"/>
          <w:b w:val="false"/>
          <w:bCs w:val="false"/>
          <w:i w:val="false"/>
          <w:iCs w:val="false"/>
          <w:color w:val="333333"/>
          <w:sz w:val="22"/>
          <w:szCs w:val="22"/>
        </w:rPr>
        <w:t xml:space="preserve">This exactly mirrors the intermediate rocks discovery (EXP-14): when the full composition anti-locks, decomposing into pairwise log-ratios reveals the hidden structure. The Ti–O balance works because titanium (Z=22) has dramatically different scattering behaviour from oxygen (Z=8), creating a clean two-component contrast within the three-component system.</w:t>
      </w:r>
    </w:p>
    <w:p>
      <w:pPr>
        <w:pStyle w:val="Heading2"/>
      </w:pPr>
      <w:r>
        <w:t xml:space="preserve">5.4 The Anti-Lock Trio: Halite, Quartz, Calcite</w:t>
      </w:r>
    </w:p>
    <w:p>
      <w:pPr>
        <w:spacing w:after="80" w:before="80"/>
        <w:jc w:val="left"/>
      </w:pPr>
      <w:r>
        <w:rPr>
          <w:rFonts w:ascii="Arial" w:cs="Arial" w:eastAsia="Arial" w:hAnsi="Arial"/>
          <w:b w:val="false"/>
          <w:bCs w:val="false"/>
          <w:i w:val="false"/>
          <w:iCs w:val="false"/>
          <w:color w:val="333333"/>
          <w:sz w:val="22"/>
          <w:szCs w:val="22"/>
        </w:rPr>
        <w:t xml:space="preserve">All three produce hill-shaped PLL parabolas with R² ranging from 0.263 (Calcite) to 0.770 (Halite). The common thread: low compositional dimensionality (D=2 for Halite and Quartz, D=3 for Calcite) combined with limited Z-contrast between elements.</w:t>
      </w:r>
    </w:p>
    <w:p>
      <w:pPr>
        <w:spacing w:after="80" w:before="80"/>
        <w:jc w:val="left"/>
      </w:pPr>
      <w:r>
        <w:rPr>
          <w:rFonts w:ascii="Arial" w:cs="Arial" w:eastAsia="Arial" w:hAnsi="Arial"/>
          <w:b w:val="false"/>
          <w:bCs w:val="false"/>
          <w:i w:val="false"/>
          <w:iCs w:val="false"/>
          <w:color w:val="333333"/>
          <w:sz w:val="22"/>
          <w:szCs w:val="22"/>
        </w:rPr>
        <w:t xml:space="preserve">Quartz (Si vs O, Z=14 vs Z=8) has the weakest signal — the two elements have similar enough electron counts that their scattering factors evolve nearly in parallel, producing minimal compositional trajectory on the simplex. The R² = 0.342 is consistent with the “insufficient contrast” diagnosis from the HFSP framework.</w:t>
      </w:r>
    </w:p>
    <w:p>
      <w:pPr>
        <w:spacing w:after="80" w:before="80"/>
        <w:jc w:val="left"/>
      </w:pPr>
      <w:r>
        <w:rPr>
          <w:rFonts w:ascii="Arial" w:cs="Arial" w:eastAsia="Arial" w:hAnsi="Arial"/>
          <w:b w:val="false"/>
          <w:bCs w:val="false"/>
          <w:i w:val="false"/>
          <w:iCs w:val="false"/>
          <w:color w:val="333333"/>
          <w:sz w:val="22"/>
          <w:szCs w:val="22"/>
        </w:rPr>
        <w:t xml:space="preserve">Critically, even the anti-locked systems produce rich super squeeze results: Calcite yields 23 matches with the tightest at δ = 0.00034, suggesting that the normalised S_norm function still encodes structural information even when the primary PLL diagnostic fails. This is a new observation with implications for anti-lock recovery.</w:t>
      </w:r>
    </w:p>
    <w:p>
      <w:r>
        <w:br w:type="page"/>
      </w:r>
    </w:p>
    <w:p>
      <w:pPr>
        <w:pStyle w:val="Heading1"/>
      </w:pPr>
      <w:r>
        <w:t xml:space="preserve">6. Diagnostic Dashboard</w:t>
      </w:r>
    </w:p>
    <w:p>
      <w:pPr>
        <w:spacing w:after="80" w:before="80"/>
        <w:jc w:val="left"/>
      </w:pPr>
      <w:r>
        <w:rPr>
          <w:rFonts w:ascii="Arial" w:cs="Arial" w:eastAsia="Arial" w:hAnsi="Arial"/>
          <w:b w:val="false"/>
          <w:bCs w:val="false"/>
          <w:i w:val="false"/>
          <w:iCs w:val="false"/>
          <w:color w:val="333333"/>
          <w:sz w:val="22"/>
          <w:szCs w:val="22"/>
        </w:rPr>
        <w:t xml:space="preserve">Nine-panel visualisation showing scattering compositions, Aitchison variance trajectories, Shannon entropy, PLL core diagnostics, R² comparison bar chart, full composition trajectories for Olivine and Almandine, and effective diversity evolution across all six crystals.</w:t>
      </w:r>
    </w:p>
    <w:p>
      <w:pPr>
        <w:spacing w:after="200" w:before="200"/>
        <w:jc w:val="center"/>
      </w:pPr>
      <w:r>
        <w:drawing>
          <wp:inline distT="0" distB="0" distL="0" distR="0">
            <wp:extent cx="6477000" cy="4762500"/>
            <wp:effectExtent t="0" r="0" b="0" l="0"/>
            <wp:docPr id="1" name="dashboard" descr="9-panel X-ray crystallography Higgins Decomposition diagnostic" title="EXP-15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4762500"/>
                    </a:xfrm>
                    <a:prstGeom prst="rect">
                      <a:avLst/>
                    </a:prstGeom>
                  </pic:spPr>
                </pic:pic>
              </a:graphicData>
            </a:graphic>
          </wp:inline>
        </w:drawing>
      </w:r>
    </w:p>
    <w:p>
      <w:pPr>
        <w:spacing w:after="80" w:before="80"/>
        <w:jc w:val="left"/>
      </w:pPr>
      <w:r>
        <w:rPr>
          <w:rFonts w:ascii="Arial" w:cs="Arial" w:eastAsia="Arial" w:hAnsi="Arial"/>
          <w:b w:val="false"/>
          <w:bCs w:val="false"/>
          <w:i/>
          <w:iCs/>
          <w:color w:val="666666"/>
          <w:sz w:val="18"/>
          <w:szCs w:val="18"/>
        </w:rPr>
        <w:t xml:space="preserve">Figure 1. EXP-15 diagnostic dashboard. Top row: scattering compositions, Aitchison variance, Shannon entropy vs s. Middle row: PLL core diagnostics (bowl/hill), R² comparison (green = bowl, red = hill), Olivine 4D trajectory. Bottom row: Almandine 4D trajectory, super squeeze results summary, effective diversity.</w:t>
      </w:r>
    </w:p>
    <w:p>
      <w:r>
        <w:br w:type="page"/>
      </w:r>
    </w:p>
    <w:p>
      <w:pPr>
        <w:pStyle w:val="Heading1"/>
      </w:pPr>
      <w:r>
        <w:t xml:space="preserve">7. Dual-Anchor Validation</w:t>
      </w:r>
    </w:p>
    <w:p>
      <w:pPr>
        <w:spacing w:after="80" w:before="80"/>
        <w:jc w:val="left"/>
      </w:pPr>
      <w:r>
        <w:rPr>
          <w:rFonts w:ascii="Arial" w:cs="Arial" w:eastAsia="Arial" w:hAnsi="Arial"/>
          <w:b w:val="false"/>
          <w:bCs w:val="false"/>
          <w:i w:val="false"/>
          <w:iCs w:val="false"/>
          <w:color w:val="333333"/>
          <w:sz w:val="22"/>
          <w:szCs w:val="22"/>
        </w:rPr>
        <w:t xml:space="preserve">The central finding of EXP-15 is that the same physical system — olivine — can be analysed from two independent perspectives using the Higgins Decomposition: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20"/>
        <w:gridCol w:w="4050"/>
        <w:gridCol w:w="4050"/>
      </w:tblGrid>
      <w:tr>
        <w:tc>
          <w:tcPr>
            <w:tcW w:type="dxa" w:w="162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
            </w:r>
          </w:p>
        </w:tc>
        <w:tc>
          <w:tcPr>
            <w:tcW w:type="dxa" w:w="405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pPr>
              <w:jc w:val="center"/>
            </w:pPr>
            <w:r>
              <w:rPr>
                <w:rFonts w:ascii="Arial" w:cs="Arial" w:eastAsia="Arial" w:hAnsi="Arial"/>
                <w:b/>
                <w:bCs/>
                <w:i w:val="false"/>
                <w:iCs w:val="false"/>
                <w:color w:val="FFFFFF"/>
                <w:sz w:val="20"/>
                <w:szCs w:val="20"/>
              </w:rPr>
              <w:t xml:space="preserve">MATTER Domain</w:t>
            </w:r>
          </w:p>
        </w:tc>
        <w:tc>
          <w:tcPr>
            <w:tcW w:type="dxa" w:w="405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pPr>
              <w:jc w:val="center"/>
            </w:pPr>
            <w:r>
              <w:rPr>
                <w:rFonts w:ascii="Arial" w:cs="Arial" w:eastAsia="Arial" w:hAnsi="Arial"/>
                <w:b/>
                <w:bCs/>
                <w:i w:val="false"/>
                <w:iCs w:val="false"/>
                <w:color w:val="FFFFFF"/>
                <w:sz w:val="20"/>
                <w:szCs w:val="20"/>
              </w:rPr>
              <w:t xml:space="preserve">ENERGY Domain</w:t>
            </w:r>
          </w:p>
        </w:tc>
      </w:tr>
      <w:tr>
        <w:tc>
          <w:tcPr>
            <w:tcW w:type="dxa" w:w="16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bCs/>
                <w:i w:val="false"/>
                <w:iCs w:val="false"/>
                <w:color w:val="000000"/>
                <w:sz w:val="20"/>
                <w:szCs w:val="20"/>
              </w:rPr>
              <w:t xml:space="preserve">Source</w:t>
            </w:r>
          </w:p>
        </w:tc>
        <w:tc>
          <w:tcPr>
            <w:tcW w:type="dxa" w:w="405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Oxide weight compositions (EXP-05/14)</w:t>
            </w:r>
          </w:p>
        </w:tc>
        <w:tc>
          <w:tcPr>
            <w:tcW w:type="dxa" w:w="405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Cromer–Mann scattering factors (EXP-15)</w:t>
            </w:r>
          </w:p>
        </w:tc>
      </w:tr>
      <w:tr>
        <w:tc>
          <w:tcPr>
            <w:tcW w:type="dxa" w:w="16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i w:val="false"/>
                <w:iCs w:val="false"/>
                <w:color w:val="000000"/>
                <w:sz w:val="20"/>
                <w:szCs w:val="20"/>
              </w:rPr>
              <w:t xml:space="preserve">Driver</w:t>
            </w:r>
          </w:p>
        </w:tc>
        <w:tc>
          <w:tcPr>
            <w:tcW w:type="dxa" w:w="405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Chemical differentiation (magma evolution)</w:t>
            </w:r>
          </w:p>
        </w:tc>
        <w:tc>
          <w:tcPr>
            <w:tcW w:type="dxa" w:w="405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Electron density vs diffraction angle</w:t>
            </w:r>
          </w:p>
        </w:tc>
      </w:tr>
      <w:tr>
        <w:tc>
          <w:tcPr>
            <w:tcW w:type="dxa" w:w="16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bCs/>
                <w:i w:val="false"/>
                <w:iCs w:val="false"/>
                <w:color w:val="000000"/>
                <w:sz w:val="20"/>
                <w:szCs w:val="20"/>
              </w:rPr>
              <w:t xml:space="preserve">Anchor</w:t>
            </w:r>
          </w:p>
        </w:tc>
        <w:tc>
          <w:tcPr>
            <w:tcW w:type="dxa" w:w="405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Petrogenetic affinity (SiO₂ wt%)</w:t>
            </w:r>
          </w:p>
        </w:tc>
        <w:tc>
          <w:tcPr>
            <w:tcW w:type="dxa" w:w="405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Forward scattering limit (s → 0)</w:t>
            </w:r>
          </w:p>
        </w:tc>
      </w:tr>
      <w:tr>
        <w:tc>
          <w:tcPr>
            <w:tcW w:type="dxa" w:w="16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i w:val="false"/>
                <w:iCs w:val="false"/>
                <w:color w:val="000000"/>
                <w:sz w:val="20"/>
                <w:szCs w:val="20"/>
              </w:rPr>
              <w:t xml:space="preserve">PLL Shape</w:t>
            </w:r>
          </w:p>
        </w:tc>
        <w:tc>
          <w:tcPr>
            <w:tcW w:type="dxa" w:w="405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i w:val="false"/>
                <w:iCs w:val="false"/>
                <w:color w:val="2E7D32"/>
                <w:sz w:val="20"/>
                <w:szCs w:val="20"/>
              </w:rPr>
              <w:t xml:space="preserve">BOWL (via pairwise balance)</w:t>
            </w:r>
          </w:p>
        </w:tc>
        <w:tc>
          <w:tcPr>
            <w:tcW w:type="dxa" w:w="405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i w:val="false"/>
                <w:iCs w:val="false"/>
                <w:color w:val="2E7D32"/>
                <w:sz w:val="20"/>
                <w:szCs w:val="20"/>
              </w:rPr>
              <w:t xml:space="preserve">BOWL (R² = 0.992)</w:t>
            </w:r>
          </w:p>
        </w:tc>
      </w:tr>
      <w:tr>
        <w:tc>
          <w:tcPr>
            <w:tcW w:type="dxa" w:w="16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bCs/>
                <w:i w:val="false"/>
                <w:iCs w:val="false"/>
                <w:color w:val="000000"/>
                <w:sz w:val="20"/>
                <w:szCs w:val="20"/>
              </w:rPr>
              <w:t xml:space="preserve">Reciprocal</w:t>
            </w:r>
          </w:p>
        </w:tc>
        <w:tc>
          <w:tcPr>
            <w:tcW w:type="dxa" w:w="405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1/π → φ² (δ = 0.00003)</w:t>
            </w:r>
          </w:p>
        </w:tc>
        <w:tc>
          <w:tcPr>
            <w:tcW w:type="dxa" w:w="405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pPr>
              <w:jc w:val="left"/>
            </w:pPr>
            <w:r>
              <w:rPr>
                <w:rFonts w:ascii="Arial" w:cs="Arial" w:eastAsia="Arial" w:hAnsi="Arial"/>
                <w:b w:val="false"/>
                <w:bCs w:val="false"/>
                <w:i w:val="false"/>
                <w:iCs w:val="false"/>
                <w:color w:val="000000"/>
                <w:sz w:val="20"/>
                <w:szCs w:val="20"/>
              </w:rPr>
              <w:t xml:space="preserve">1/π → φ² (δ = 0.00123)</w:t>
            </w:r>
          </w:p>
        </w:tc>
      </w:tr>
    </w:tbl>
    <w:p>
      <w:pPr>
        <w:spacing w:after="80" w:before="200"/>
        <w:jc w:val="left"/>
      </w:pPr>
      <w:r>
        <w:rPr>
          <w:rFonts w:ascii="Arial" w:cs="Arial" w:eastAsia="Arial" w:hAnsi="Arial"/>
          <w:b w:val="false"/>
          <w:bCs w:val="false"/>
          <w:i w:val="false"/>
          <w:iCs w:val="false"/>
          <w:color w:val="333333"/>
          <w:sz w:val="22"/>
          <w:szCs w:val="22"/>
        </w:rPr>
        <w:t xml:space="preserve">The same reciprocal pair (1/π → φ²) appearing in both domains is striking. Different physical processes, different measurement techniques, different compositional axes — yet the normalised Higgins function maps between the same two mathematical constants. This cross-domain persistence is the strongest evidence yet for the universality claim of the HUF framework.</w:t>
      </w:r>
    </w:p>
    <w:p>
      <w:r>
        <w:br w:type="page"/>
      </w:r>
    </w:p>
    <w:p>
      <w:pPr>
        <w:pStyle w:val="Heading1"/>
      </w:pPr>
      <w:r>
        <w:t xml:space="preserve">8. Emergent Patterns</w:t>
      </w:r>
    </w:p>
    <w:p>
      <w:pPr>
        <w:pStyle w:val="Heading2"/>
      </w:pPr>
      <w:r>
        <w:t xml:space="preserve">8.1 Compositional Contrast Predicts PLL Quality</w:t>
      </w:r>
    </w:p>
    <w:p>
      <w:pPr>
        <w:spacing w:after="80" w:before="80"/>
        <w:jc w:val="left"/>
      </w:pPr>
      <w:r>
        <w:rPr>
          <w:rFonts w:ascii="Arial" w:cs="Arial" w:eastAsia="Arial" w:hAnsi="Arial"/>
          <w:b w:val="false"/>
          <w:bCs w:val="false"/>
          <w:i w:val="false"/>
          <w:iCs w:val="false"/>
          <w:color w:val="333333"/>
          <w:sz w:val="22"/>
          <w:szCs w:val="22"/>
        </w:rPr>
        <w:t xml:space="preserve">A clear hierarchy emerges: crystals with higher compositional dimensionality (D) and larger Z-contrasts between elements produce stronger bowl-shaped PLL fits. Olivine (D=4, Fe vs O) and Almandine (D=4, Fe vs O) dominate; low-contrast pairs (Si vs O in Quartz) anti-lock. This is consistent with HFSP: the diagnostic anchor must come from the system’s own physics, and insufficient contrast means no natural anchor exists.</w:t>
      </w:r>
    </w:p>
    <w:p>
      <w:pPr>
        <w:pStyle w:val="Heading2"/>
      </w:pPr>
      <w:r>
        <w:t xml:space="preserve">8.2 Pairwise Balances as Universal Anti-Lock Breaker</w:t>
      </w:r>
    </w:p>
    <w:p>
      <w:pPr>
        <w:spacing w:after="80" w:before="80"/>
        <w:jc w:val="left"/>
      </w:pPr>
      <w:r>
        <w:rPr>
          <w:rFonts w:ascii="Arial" w:cs="Arial" w:eastAsia="Arial" w:hAnsi="Arial"/>
          <w:b w:val="false"/>
          <w:bCs w:val="false"/>
          <w:i w:val="false"/>
          <w:iCs w:val="false"/>
          <w:color w:val="333333"/>
          <w:sz w:val="22"/>
          <w:szCs w:val="22"/>
        </w:rPr>
        <w:t xml:space="preserve">The success of pairwise CoDa balances in Perovskite (ln(Ti/O) R² = 0.995) confirms the pattern first discovered in intermediate rocks (EXP-14): when the full D-dimensional system anti-locks, decomposing into 2D pairwise log-ratios isolates the strongest binary contrast. This is now validated in two completely different physical domains — magma chemistry and electron scattering — establishing the pairwise balance method as a general-purpose tool in the Higgins framework.</w:t>
      </w:r>
    </w:p>
    <w:p>
      <w:pPr>
        <w:pStyle w:val="Heading2"/>
      </w:pPr>
      <w:r>
        <w:t xml:space="preserve">8.3 Anti-Lock Systems Still Encode Information</w:t>
      </w:r>
    </w:p>
    <w:p>
      <w:pPr>
        <w:spacing w:after="80" w:before="80"/>
        <w:jc w:val="left"/>
      </w:pPr>
      <w:r>
        <w:rPr>
          <w:rFonts w:ascii="Arial" w:cs="Arial" w:eastAsia="Arial" w:hAnsi="Arial"/>
          <w:b w:val="false"/>
          <w:bCs w:val="false"/>
          <w:i w:val="false"/>
          <w:iCs w:val="false"/>
          <w:color w:val="333333"/>
          <w:sz w:val="22"/>
          <w:szCs w:val="22"/>
        </w:rPr>
        <w:t xml:space="preserve">Calcite anti-locks on the primary diagnostic (R² = 0.263, hill) yet produces the tightest super squeeze match in the batch (δ = 0.00034) and the most matches overall (23). This suggests the normalised S_norm function extracts structure that the PLL parabola misses — an important insight for future development of anti-lock recovery methods.</w:t>
      </w:r>
    </w:p>
    <w:p>
      <w:pPr>
        <w:pStyle w:val="Heading2"/>
      </w:pPr>
      <w:r>
        <w:t xml:space="preserve">8.4 The log₁₀(2) Network</w:t>
      </w:r>
    </w:p>
    <w:p>
      <w:pPr>
        <w:spacing w:after="80" w:before="80"/>
        <w:jc w:val="left"/>
      </w:pPr>
      <w:r>
        <w:rPr>
          <w:rFonts w:ascii="Arial" w:cs="Arial" w:eastAsia="Arial" w:hAnsi="Arial"/>
          <w:b w:val="false"/>
          <w:bCs w:val="false"/>
          <w:i w:val="false"/>
          <w:iCs w:val="false"/>
          <w:color w:val="333333"/>
          <w:sz w:val="22"/>
          <w:szCs w:val="22"/>
        </w:rPr>
        <w:t xml:space="preserve">The constant log₁₀(2) = 0.3010 appears as a super squeeze output in four of six crystals (Halite, Olivine, Almandine, Perovskite). Its prevalence suggests it may encode something fundamental about binary compositional splits — appropriate given that scattering factor compositions are fundamentally about the binary contrast between each element and the rest.</w:t>
      </w:r>
    </w:p>
    <w:p>
      <w:r>
        <w:br w:type="page"/>
      </w:r>
    </w:p>
    <w:p>
      <w:pPr>
        <w:pStyle w:val="Heading1"/>
      </w:pPr>
      <w:r>
        <w:t xml:space="preserve">9. Open Data Sources for Scale Testing</w:t>
      </w:r>
    </w:p>
    <w:p>
      <w:pPr>
        <w:spacing w:after="80" w:before="80"/>
        <w:jc w:val="left"/>
      </w:pPr>
      <w:r>
        <w:rPr>
          <w:rFonts w:ascii="Arial" w:cs="Arial" w:eastAsia="Arial" w:hAnsi="Arial"/>
          <w:b w:val="false"/>
          <w:bCs w:val="false"/>
          <w:i w:val="false"/>
          <w:iCs w:val="false"/>
          <w:color w:val="333333"/>
          <w:sz w:val="22"/>
          <w:szCs w:val="22"/>
        </w:rPr>
        <w:t xml:space="preserve">With compatibility confirmed on six hand-picked crystals, the next step is large-scale validation across hundreds or thousands of crystal structures. Three open databases provide the necessary data:</w:t>
      </w:r>
    </w:p>
    <w:p>
      <w:pPr>
        <w:pStyle w:val="Heading2"/>
      </w:pPr>
      <w:r>
        <w:t xml:space="preserve">9.1 Crystallography Open Database (COD)</w:t>
      </w:r>
    </w:p>
    <w:p>
      <w:pPr>
        <w:spacing w:after="80" w:before="80"/>
        <w:jc w:val="left"/>
      </w:pPr>
      <w:r>
        <w:rPr>
          <w:rFonts w:ascii="Arial" w:cs="Arial" w:eastAsia="Arial" w:hAnsi="Arial"/>
          <w:b w:val="false"/>
          <w:bCs w:val="false"/>
          <w:i w:val="false"/>
          <w:iCs w:val="false"/>
          <w:color w:val="333333"/>
          <w:sz w:val="22"/>
          <w:szCs w:val="22"/>
        </w:rPr>
        <w:t xml:space="preserve">Over 520,000 crystal structures under CC0 licence. CIF format with full unit cell compositions. Bulk download via rsync or Subversion. This is the primary target for big data testing: download CIF files, extract element compositions and stoichiometries, compute Cromer–Mann scattering trajectories, and run the 10-step decomposition on each.</w:t>
      </w:r>
    </w:p>
    <w:p>
      <w:pPr>
        <w:spacing w:after="80" w:before="80"/>
        <w:jc w:val="left"/>
      </w:pPr>
      <w:r>
        <w:rPr>
          <w:rFonts w:ascii="Arial" w:cs="Arial" w:eastAsia="Arial" w:hAnsi="Arial"/>
          <w:b w:val="false"/>
          <w:bCs w:val="false"/>
          <w:i w:val="false"/>
          <w:iCs w:val="false"/>
          <w:color w:val="333333"/>
          <w:sz w:val="22"/>
          <w:szCs w:val="22"/>
        </w:rPr>
        <w:t xml:space="preserve">URL: http://www.crystallography.net/cod/</w:t>
      </w:r>
    </w:p>
    <w:p>
      <w:pPr>
        <w:pStyle w:val="Heading2"/>
      </w:pPr>
      <w:r>
        <w:t xml:space="preserve">9.2 American Mineralogist Crystal Structure Database (AMCSD)</w:t>
      </w:r>
    </w:p>
    <w:p>
      <w:pPr>
        <w:spacing w:after="80" w:before="80"/>
        <w:jc w:val="left"/>
      </w:pPr>
      <w:r>
        <w:rPr>
          <w:rFonts w:ascii="Arial" w:cs="Arial" w:eastAsia="Arial" w:hAnsi="Arial"/>
          <w:b w:val="false"/>
          <w:bCs w:val="false"/>
          <w:i w:val="false"/>
          <w:iCs w:val="false"/>
          <w:color w:val="333333"/>
          <w:sz w:val="22"/>
          <w:szCs w:val="22"/>
        </w:rPr>
        <w:t xml:space="preserve">Curated subset focused on minerals. Published structures from American Mineralogist, Canadian Mineralogist, European Journal of Mineralogy, and Physics and Chemistry of Minerals. Smaller than COD but higher quality for mineral-specific testing. CIF download per structure.</w:t>
      </w:r>
    </w:p>
    <w:p>
      <w:pPr>
        <w:spacing w:after="80" w:before="80"/>
        <w:jc w:val="left"/>
      </w:pPr>
      <w:r>
        <w:rPr>
          <w:rFonts w:ascii="Arial" w:cs="Arial" w:eastAsia="Arial" w:hAnsi="Arial"/>
          <w:b w:val="false"/>
          <w:bCs w:val="false"/>
          <w:i w:val="false"/>
          <w:iCs w:val="false"/>
          <w:color w:val="333333"/>
          <w:sz w:val="22"/>
          <w:szCs w:val="22"/>
        </w:rPr>
        <w:t xml:space="preserve">URL: https://rruff.geo.arizona.edu/AMS/amcsd.php</w:t>
      </w:r>
    </w:p>
    <w:p>
      <w:pPr>
        <w:pStyle w:val="Heading2"/>
      </w:pPr>
      <w:r>
        <w:t xml:space="preserve">9.3 Materials Project</w:t>
      </w:r>
    </w:p>
    <w:p>
      <w:pPr>
        <w:spacing w:after="80" w:before="80"/>
        <w:jc w:val="left"/>
      </w:pPr>
      <w:r>
        <w:rPr>
          <w:rFonts w:ascii="Arial" w:cs="Arial" w:eastAsia="Arial" w:hAnsi="Arial"/>
          <w:b w:val="false"/>
          <w:bCs w:val="false"/>
          <w:i w:val="false"/>
          <w:iCs w:val="false"/>
          <w:color w:val="333333"/>
          <w:sz w:val="22"/>
          <w:szCs w:val="22"/>
        </w:rPr>
        <w:t xml:space="preserve">Computed properties for over 150,000 materials. REST API with Python client (mp-api). Requires free registration for API key. Provides compositions, structures in CIF format, and computed properties (band gaps, formation energies) that could serve as independent validation targets.</w:t>
      </w:r>
    </w:p>
    <w:p>
      <w:pPr>
        <w:spacing w:after="80" w:before="80"/>
        <w:jc w:val="left"/>
      </w:pPr>
      <w:r>
        <w:rPr>
          <w:rFonts w:ascii="Arial" w:cs="Arial" w:eastAsia="Arial" w:hAnsi="Arial"/>
          <w:b w:val="false"/>
          <w:bCs w:val="false"/>
          <w:i w:val="false"/>
          <w:iCs w:val="false"/>
          <w:color w:val="333333"/>
          <w:sz w:val="22"/>
          <w:szCs w:val="22"/>
        </w:rPr>
        <w:t xml:space="preserve">URL: https://materialsproject.org</w:t>
      </w:r>
    </w:p>
    <w:p>
      <w:r>
        <w:br w:type="page"/>
      </w:r>
    </w:p>
    <w:p>
      <w:pPr>
        <w:pStyle w:val="Heading1"/>
      </w:pPr>
      <w:r>
        <w:t xml:space="preserve">10. Conclusions</w:t>
      </w:r>
    </w:p>
    <w:p>
      <w:pPr>
        <w:pStyle w:val="ListParagraph"/>
        <w:numPr>
          <w:ilvl w:val="0"/>
          <w:numId w:val="2"/>
        </w:numPr>
        <w:spacing w:after="80" w:before="120"/>
      </w:pPr>
      <w:r>
        <w:rPr>
          <w:rFonts w:ascii="Arial" w:cs="Arial" w:eastAsia="Arial" w:hAnsi="Arial"/>
          <w:sz w:val="22"/>
          <w:szCs w:val="22"/>
        </w:rPr>
        <w:t xml:space="preserve">The Higgins Decomposition is compatible with X-ray crystallographic systems. Three of six test crystals produce strong bowl-shaped PLL parabolas (R² = 0.903 to 0.992) from scattering factor compositions.</w:t>
      </w:r>
    </w:p>
    <w:p>
      <w:pPr>
        <w:pStyle w:val="ListParagraph"/>
        <w:numPr>
          <w:ilvl w:val="0"/>
          <w:numId w:val="2"/>
        </w:numPr>
        <w:spacing w:after="80" w:before="80"/>
      </w:pPr>
      <w:r>
        <w:rPr>
          <w:rFonts w:ascii="Arial" w:cs="Arial" w:eastAsia="Arial" w:hAnsi="Arial"/>
          <w:sz w:val="22"/>
          <w:szCs w:val="22"/>
        </w:rPr>
        <w:t xml:space="preserve">The dual-anchor concept is validated: the same mineral system (olivine) produces bowl-shaped diagnostics from both MATTER (oxide compositions) and ENERGY (scattering factors) perspectives, with the same reciprocal constant pair (1/π → φ²) appearing in both.</w:t>
      </w:r>
    </w:p>
    <w:p>
      <w:pPr>
        <w:pStyle w:val="ListParagraph"/>
        <w:numPr>
          <w:ilvl w:val="0"/>
          <w:numId w:val="2"/>
        </w:numPr>
        <w:spacing w:after="80" w:before="80"/>
      </w:pPr>
      <w:r>
        <w:rPr>
          <w:rFonts w:ascii="Arial" w:cs="Arial" w:eastAsia="Arial" w:hAnsi="Arial"/>
          <w:sz w:val="22"/>
          <w:szCs w:val="22"/>
        </w:rPr>
        <w:t xml:space="preserve">Pairwise CoDa balances break anti-lock in the ENERGY domain (Perovskite ln(Ti/O) R² = 0.995) just as they did in the MATTER domain (intermediate rocks ln(Al₂O₃/CaO) R² = 0.765), confirming this as a general-purpose method.</w:t>
      </w:r>
    </w:p>
    <w:p>
      <w:pPr>
        <w:pStyle w:val="ListParagraph"/>
        <w:numPr>
          <w:ilvl w:val="0"/>
          <w:numId w:val="2"/>
        </w:numPr>
        <w:spacing w:after="80" w:before="80"/>
      </w:pPr>
      <w:r>
        <w:rPr>
          <w:rFonts w:ascii="Arial" w:cs="Arial" w:eastAsia="Arial" w:hAnsi="Arial"/>
          <w:sz w:val="22"/>
          <w:szCs w:val="22"/>
        </w:rPr>
        <w:t xml:space="preserve">82 super squeeze reciprocal matches across six crystals, with the tightest at δ = 0.00034 (Calcite: log₁₀(e) → ln(2)), confirm the same 28-constant library operates in the energy domain.</w:t>
      </w:r>
    </w:p>
    <w:p>
      <w:pPr>
        <w:pStyle w:val="ListParagraph"/>
        <w:numPr>
          <w:ilvl w:val="0"/>
          <w:numId w:val="2"/>
        </w:numPr>
        <w:spacing w:after="80" w:before="80"/>
      </w:pPr>
      <w:r>
        <w:rPr>
          <w:rFonts w:ascii="Arial" w:cs="Arial" w:eastAsia="Arial" w:hAnsi="Arial"/>
          <w:sz w:val="22"/>
          <w:szCs w:val="22"/>
        </w:rPr>
        <w:t xml:space="preserve">Compositional contrast (element count and Z-difference) predicts PLL quality, consistent with HFSP: the anchor must come from the system’s own physics.</w:t>
      </w:r>
    </w:p>
    <w:p>
      <w:pPr>
        <w:pStyle w:val="ListParagraph"/>
        <w:numPr>
          <w:ilvl w:val="0"/>
          <w:numId w:val="2"/>
        </w:numPr>
        <w:spacing w:after="120" w:before="80"/>
      </w:pPr>
      <w:r>
        <w:rPr>
          <w:rFonts w:ascii="Arial" w:cs="Arial" w:eastAsia="Arial" w:hAnsi="Arial"/>
          <w:sz w:val="22"/>
          <w:szCs w:val="22"/>
        </w:rPr>
        <w:t xml:space="preserve">Scale testing on 520,000+ structures from the Crystallography Open Database is the immediate next step.</w:t>
      </w:r>
    </w:p>
    <w:p>
      <w:pPr>
        <w:spacing w:after="80" w:before="200"/>
        <w:jc w:val="left"/>
      </w:pPr>
      <w:r>
        <w:rPr>
          <w:rFonts w:ascii="Arial" w:cs="Arial" w:eastAsia="Arial" w:hAnsi="Arial"/>
          <w:b/>
          <w:bCs/>
          <w:i w:val="false"/>
          <w:iCs w:val="false"/>
          <w:color w:val="333333"/>
          <w:sz w:val="22"/>
          <w:szCs w:val="22"/>
        </w:rPr>
        <w:t xml:space="preserve">EXP-15 extends the Higgins Unity Framework from 75 to 81 catalogued systems and, more importantly, establishes the first cross-domain bridge between matter and energy descriptions of the same physical reality. The decomposition does not care whether compositions arise from chemical abundances or quantum-mechanical scattering — the CoDa structure is universal.</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999999"/>
        <w:sz w:val="16"/>
        <w:szCs w:val="16"/>
      </w:rPr>
      <w:t xml:space="preserve">HUF Programme — EXP-15 —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2761" w:sz="4" w:space="4"/>
      </w:pBdr>
      <w:jc w:val="right"/>
    </w:pPr>
    <w:r>
      <w:rPr>
        <w:rFonts w:ascii="Arial" w:cs="Arial" w:eastAsia="Arial" w:hAnsi="Arial"/>
        <w:i/>
        <w:iCs/>
        <w:color w:val="666666"/>
        <w:sz w:val="18"/>
        <w:szCs w:val="18"/>
      </w:rPr>
      <w:t xml:space="preserve">EXP-15: X-Ray Crystallography Higgins Decomposition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00"/>
      <w:outlineLvl w:val="0"/>
    </w:pPr>
    <w:rPr>
      <w:rFonts w:ascii="Georgia" w:cs="Georgia" w:eastAsia="Georgia" w:hAnsi="Georgia"/>
      <w:b/>
      <w:bCs/>
      <w:color w:val="1E2761"/>
      <w:sz w:val="34"/>
      <w:szCs w:val="34"/>
    </w:rPr>
  </w:style>
  <w:style w:type="paragraph" w:styleId="Heading2">
    <w:name w:val="Heading 2"/>
    <w:basedOn w:val="Normal"/>
    <w:next w:val="Normal"/>
    <w:qFormat/>
    <w:pPr>
      <w:spacing w:after="180" w:before="300"/>
      <w:outlineLvl w:val="1"/>
    </w:pPr>
    <w:rPr>
      <w:rFonts w:ascii="Georgia" w:cs="Georgia" w:eastAsia="Georgia" w:hAnsi="Georgia"/>
      <w:b/>
      <w:bCs/>
      <w:color w:val="028090"/>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E276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d184b874578d8395d6fe64ed65cf3672bb811d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2026-04-22T03:52:17.645Z</dcterms:created>
  <dcterms:modified xsi:type="dcterms:W3CDTF">2026-04-22T03:52:17.645Z</dcterms:modified>
</cp:coreProperties>
</file>

<file path=docProps/custom.xml><?xml version="1.0" encoding="utf-8"?>
<Properties xmlns="http://schemas.openxmlformats.org/officeDocument/2006/custom-properties" xmlns:vt="http://schemas.openxmlformats.org/officeDocument/2006/docPropsVTypes"/>
</file>