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0"/>
      </w:pPr>
    </w:p>
    <w:p>
      <w:pPr>
        <w:spacing w:after="60" w:before="0"/>
        <w:jc w:val="center"/>
      </w:pPr>
      <w:r>
        <w:rPr>
          <w:rFonts w:ascii="Georgia" w:cs="Georgia" w:eastAsia="Georgia" w:hAnsi="Georgia"/>
          <w:b/>
          <w:bCs/>
          <w:color w:val="1E2761"/>
          <w:sz w:val="52"/>
          <w:szCs w:val="52"/>
        </w:rPr>
        <w:t xml:space="preserve">HUF PROGRAMME CONCLUSION</w:t>
      </w:r>
    </w:p>
    <w:p>
      <w:pPr>
        <w:spacing w:after="40" w:before="0"/>
        <w:jc w:val="center"/>
      </w:pPr>
      <w:r>
        <w:rPr>
          <w:rFonts w:ascii="Georgia" w:cs="Georgia" w:eastAsia="Georgia" w:hAnsi="Georgia"/>
          <w:color w:val="2A3A7D"/>
          <w:sz w:val="36"/>
          <w:szCs w:val="36"/>
        </w:rPr>
        <w:t xml:space="preserve">The Gravity of the Situation</w:t>
      </w:r>
    </w:p>
    <w:p>
      <w:pPr>
        <w:spacing w:after="200" w:before="0"/>
        <w:jc w:val="center"/>
      </w:pPr>
      <w:r>
        <w:rPr>
          <w:rFonts w:ascii="Arial" w:cs="Arial" w:eastAsia="Arial" w:hAnsi="Arial"/>
          <w:color w:val="6B7280"/>
          <w:sz w:val="20"/>
          <w:szCs w:val="20"/>
        </w:rPr>
        <w:t xml:space="preserve">Complete Programme Summary  |  Experiments 01–12  |  All Conclusions Sealed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sz="0"/>
              <w:left w:val="none" w:sz="0"/>
              <w:bottom w:val="none" w:sz="0"/>
              <w:right w:val="none" w:sz="0"/>
            </w:tcBorders>
          </w:tcPr>
          <w:p>
            <w:pPr>
              <w:spacing w:after="0" w:before="40"/>
              <w:jc w:val="center"/>
            </w:pPr>
            <w:r>
              <w:rPr>
                <w:rFonts w:ascii="Georgia" w:cs="Georgia" w:eastAsia="Georgia" w:hAnsi="Georgia"/>
                <w:b/>
                <w:bCs/>
                <w:color w:val="1E2761"/>
                <w:sz w:val="56"/>
                <w:szCs w:val="56"/>
              </w:rPr>
              <w:t xml:space="preserve">74</w:t>
            </w:r>
          </w:p>
          <w:p>
            <w:pPr>
              <w:spacing w:after="40" w:before="0"/>
              <w:jc w:val="center"/>
            </w:pPr>
            <w:r>
              <w:rPr>
                <w:rFonts w:ascii="Arial" w:cs="Arial" w:eastAsia="Arial" w:hAnsi="Arial"/>
                <w:color w:val="6B7280"/>
                <w:sz w:val="17"/>
                <w:szCs w:val="17"/>
              </w:rPr>
              <w:t xml:space="preserve">Systems</w:t>
            </w:r>
          </w:p>
        </w:tc>
        <w:tc>
          <w:tcPr>
            <w:tcW w:type="dxa" w:w="1872"/>
            <w:tcBorders>
              <w:top w:val="none" w:sz="0"/>
              <w:left w:val="none" w:sz="0"/>
              <w:bottom w:val="none" w:sz="0"/>
              <w:right w:val="none" w:sz="0"/>
            </w:tcBorders>
          </w:tcPr>
          <w:p>
            <w:pPr>
              <w:spacing w:after="0" w:before="40"/>
              <w:jc w:val="center"/>
            </w:pPr>
            <w:r>
              <w:rPr>
                <w:rFonts w:ascii="Georgia" w:cs="Georgia" w:eastAsia="Georgia" w:hAnsi="Georgia"/>
                <w:b/>
                <w:bCs/>
                <w:color w:val="1E2761"/>
                <w:sz w:val="56"/>
                <w:szCs w:val="56"/>
              </w:rPr>
              <w:t xml:space="preserve">44</w:t>
            </w:r>
          </w:p>
          <w:p>
            <w:pPr>
              <w:spacing w:after="40" w:before="0"/>
              <w:jc w:val="center"/>
            </w:pPr>
            <w:r>
              <w:rPr>
                <w:rFonts w:ascii="Arial" w:cs="Arial" w:eastAsia="Arial" w:hAnsi="Arial"/>
                <w:color w:val="6B7280"/>
                <w:sz w:val="17"/>
                <w:szCs w:val="17"/>
              </w:rPr>
              <w:t xml:space="preserve">Orders of Mag.</w:t>
            </w:r>
          </w:p>
        </w:tc>
        <w:tc>
          <w:tcPr>
            <w:tcW w:type="dxa" w:w="1872"/>
            <w:tcBorders>
              <w:top w:val="none" w:sz="0"/>
              <w:left w:val="none" w:sz="0"/>
              <w:bottom w:val="none" w:sz="0"/>
              <w:right w:val="none" w:sz="0"/>
            </w:tcBorders>
          </w:tcPr>
          <w:p>
            <w:pPr>
              <w:spacing w:after="0" w:before="40"/>
              <w:jc w:val="center"/>
            </w:pPr>
            <w:r>
              <w:rPr>
                <w:rFonts w:ascii="Georgia" w:cs="Georgia" w:eastAsia="Georgia" w:hAnsi="Georgia"/>
                <w:b/>
                <w:bCs/>
                <w:color w:val="1E2761"/>
                <w:sz w:val="56"/>
                <w:szCs w:val="56"/>
              </w:rPr>
              <w:t xml:space="preserve">12</w:t>
            </w:r>
          </w:p>
          <w:p>
            <w:pPr>
              <w:spacing w:after="40" w:before="0"/>
              <w:jc w:val="center"/>
            </w:pPr>
            <w:r>
              <w:rPr>
                <w:rFonts w:ascii="Arial" w:cs="Arial" w:eastAsia="Arial" w:hAnsi="Arial"/>
                <w:color w:val="6B7280"/>
                <w:sz w:val="17"/>
                <w:szCs w:val="17"/>
              </w:rPr>
              <w:t xml:space="preserve">Experiments</w:t>
            </w:r>
          </w:p>
        </w:tc>
        <w:tc>
          <w:tcPr>
            <w:tcW w:type="dxa" w:w="1872"/>
            <w:tcBorders>
              <w:top w:val="none" w:sz="0"/>
              <w:left w:val="none" w:sz="0"/>
              <w:bottom w:val="none" w:sz="0"/>
              <w:right w:val="none" w:sz="0"/>
            </w:tcBorders>
          </w:tcPr>
          <w:p>
            <w:pPr>
              <w:spacing w:after="0" w:before="40"/>
              <w:jc w:val="center"/>
            </w:pPr>
            <w:r>
              <w:rPr>
                <w:rFonts w:ascii="Georgia" w:cs="Georgia" w:eastAsia="Georgia" w:hAnsi="Georgia"/>
                <w:b/>
                <w:bCs/>
                <w:color w:val="1E2761"/>
                <w:sz w:val="56"/>
                <w:szCs w:val="56"/>
              </w:rPr>
              <w:t xml:space="preserve">100%</w:t>
            </w:r>
          </w:p>
          <w:p>
            <w:pPr>
              <w:spacing w:after="40" w:before="0"/>
              <w:jc w:val="center"/>
            </w:pPr>
            <w:r>
              <w:rPr>
                <w:rFonts w:ascii="Arial" w:cs="Arial" w:eastAsia="Arial" w:hAnsi="Arial"/>
                <w:color w:val="6B7280"/>
                <w:sz w:val="17"/>
                <w:szCs w:val="17"/>
              </w:rPr>
              <w:t xml:space="preserve">Complete</w:t>
            </w:r>
          </w:p>
        </w:tc>
        <w:tc>
          <w:tcPr>
            <w:tcW w:type="dxa" w:w="1872"/>
            <w:tcBorders>
              <w:top w:val="none" w:sz="0"/>
              <w:left w:val="none" w:sz="0"/>
              <w:bottom w:val="none" w:sz="0"/>
              <w:right w:val="none" w:sz="0"/>
            </w:tcBorders>
          </w:tcPr>
          <w:p>
            <w:pPr>
              <w:spacing w:after="0" w:before="40"/>
              <w:jc w:val="center"/>
            </w:pPr>
            <w:r>
              <w:rPr>
                <w:rFonts w:ascii="Georgia" w:cs="Georgia" w:eastAsia="Georgia" w:hAnsi="Georgia"/>
                <w:b/>
                <w:bCs/>
                <w:color w:val="1E2761"/>
                <w:sz w:val="56"/>
                <w:szCs w:val="56"/>
              </w:rPr>
              <w:t xml:space="preserve">25+</w:t>
            </w:r>
          </w:p>
          <w:p>
            <w:pPr>
              <w:spacing w:after="40" w:before="0"/>
              <w:jc w:val="center"/>
            </w:pPr>
            <w:r>
              <w:rPr>
                <w:rFonts w:ascii="Arial" w:cs="Arial" w:eastAsia="Arial" w:hAnsi="Arial"/>
                <w:color w:val="6B7280"/>
                <w:sz w:val="17"/>
                <w:szCs w:val="17"/>
              </w:rPr>
              <w:t xml:space="preserve">Discoveries</w:t>
            </w:r>
          </w:p>
        </w:tc>
      </w:tr>
    </w:tbl>
    <w:p>
      <w:pPr>
        <w:spacing w:after="0" w:before="300"/>
      </w:pPr>
    </w:p>
    <w:p>
      <w:pPr>
        <w:jc w:val="center"/>
      </w:pPr>
      <w:r>
        <w:rPr>
          <w:rFonts w:ascii="Arial" w:cs="Arial" w:eastAsia="Arial" w:hAnsi="Arial"/>
          <w:color w:val="6B7280"/>
          <w:sz w:val="20"/>
          <w:szCs w:val="20"/>
        </w:rPr>
        <w:t xml:space="preserve">Peter Higgins  |  April 2026  |  CoDa-Work 2026</w:t>
      </w:r>
    </w:p>
    <w:p>
      <w:r>
        <w:br w:type="page"/>
      </w:r>
    </w:p>
    <w:p>
      <w:pPr>
        <w:pStyle w:val="Heading1"/>
        <w:spacing w:after="180" w:before="360"/>
      </w:pPr>
      <w:r>
        <w:rPr>
          <w:rFonts w:ascii="Georgia" w:cs="Georgia" w:eastAsia="Georgia" w:hAnsi="Georgia"/>
          <w:b/>
          <w:bCs/>
          <w:color w:val="1E2761"/>
          <w:sz w:val="32"/>
          <w:szCs w:val="32"/>
        </w:rPr>
        <w:t xml:space="preserve">Programme Overview</w:t>
      </w:r>
    </w:p>
    <w:p>
      <w:pPr>
        <w:spacing w:after="100" w:before="60"/>
      </w:pPr>
      <w:r>
        <w:rPr>
          <w:rFonts w:ascii="Arial" w:cs="Arial" w:eastAsia="Arial" w:hAnsi="Arial"/>
          <w:b w:val="false"/>
          <w:bCs w:val="false"/>
          <w:i w:val="false"/>
          <w:iCs w:val="false"/>
          <w:color w:val="1F2937"/>
          <w:sz w:val="21"/>
          <w:szCs w:val="21"/>
        </w:rPr>
        <w:t xml:space="preserve">The Higgins Unity Framework (HUF) applies the Entropy-Invariant Time Transformer (EITT) to every composite system in physics. Using three Compositional Data Analysis (CoDa) metrics — Shannon entropy ratio (H/H_max), Aitchison variance (σ²_A), and the phase-locked loop analogy via Pipeline Lock List (PLL) parabola fitting — HUF treats every energy budget as a composition on the simplex and every transition as a channel crossover.</w:t>
      </w:r>
    </w:p>
    <w:p>
      <w:pPr>
        <w:spacing w:after="100" w:before="60"/>
      </w:pPr>
      <w:r>
        <w:rPr>
          <w:rFonts w:ascii="Arial" w:cs="Arial" w:eastAsia="Arial" w:hAnsi="Arial"/>
          <w:b w:val="false"/>
          <w:bCs w:val="false"/>
          <w:i w:val="false"/>
          <w:iCs w:val="false"/>
          <w:color w:val="1F2937"/>
          <w:sz w:val="21"/>
          <w:szCs w:val="21"/>
        </w:rPr>
        <w:t xml:space="preserve">Across 12 experiments and 75 composite systems, the programme spans from quarks (10⁻¹⁸ m) to the observable universe (10²⁶ m) — 44 orders of magnitude with one mathematical framework. Every system has been analysed, every transition identified, every anomaly diagnosed.</w:t>
      </w:r>
    </w:p>
    <w:p>
      <w:pPr>
        <w:spacing w:after="6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000"/>
        <w:gridCol w:w="2760"/>
      </w:tblGrid>
      <w:tr>
        <w:tc>
          <w:tcPr>
            <w:tcW w:type="dxa" w:w="800"/>
            <w:tcBorders>
              <w:top w:val="single" w:color="1A2050" w:sz="1"/>
              <w:left w:val="single" w:color="1A2050" w:sz="1"/>
              <w:bottom w:val="single" w:color="1A2050" w:sz="1"/>
              <w:right w:val="single" w:color="1A2050" w:sz="1"/>
            </w:tcBorders>
            <w:shd w:fill="1E2761" w:val="clear"/>
            <w:tcMar>
              <w:top w:type="dxa" w:w="80"/>
              <w:left w:type="dxa" w:w="120"/>
              <w:bottom w:type="dxa" w:w="80"/>
              <w:right w:type="dxa" w:w="120"/>
            </w:tcMar>
          </w:tcPr>
          <w:p>
            <w:r>
              <w:rPr>
                <w:rFonts w:ascii="Arial" w:cs="Arial" w:eastAsia="Arial" w:hAnsi="Arial"/>
                <w:b/>
                <w:bCs/>
                <w:color w:val="FFFFFF"/>
                <w:sz w:val="18"/>
                <w:szCs w:val="18"/>
              </w:rPr>
              <w:t xml:space="preserve">EXP</w:t>
            </w:r>
          </w:p>
        </w:tc>
        <w:tc>
          <w:tcPr>
            <w:tcW w:type="dxa" w:w="2800"/>
            <w:tcBorders>
              <w:top w:val="single" w:color="1A2050" w:sz="1"/>
              <w:left w:val="single" w:color="1A2050" w:sz="1"/>
              <w:bottom w:val="single" w:color="1A2050" w:sz="1"/>
              <w:right w:val="single" w:color="1A2050" w:sz="1"/>
            </w:tcBorders>
            <w:shd w:fill="1E2761" w:val="clear"/>
            <w:tcMar>
              <w:top w:type="dxa" w:w="80"/>
              <w:left w:type="dxa" w:w="120"/>
              <w:bottom w:type="dxa" w:w="80"/>
              <w:right w:type="dxa" w:w="120"/>
            </w:tcMar>
          </w:tcPr>
          <w:p>
            <w:r>
              <w:rPr>
                <w:rFonts w:ascii="Arial" w:cs="Arial" w:eastAsia="Arial" w:hAnsi="Arial"/>
                <w:b/>
                <w:bCs/>
                <w:color w:val="FFFFFF"/>
                <w:sz w:val="18"/>
                <w:szCs w:val="18"/>
              </w:rPr>
              <w:t xml:space="preserve">Title</w:t>
            </w:r>
          </w:p>
        </w:tc>
        <w:tc>
          <w:tcPr>
            <w:tcW w:type="dxa" w:w="3000"/>
            <w:tcBorders>
              <w:top w:val="single" w:color="1A2050" w:sz="1"/>
              <w:left w:val="single" w:color="1A2050" w:sz="1"/>
              <w:bottom w:val="single" w:color="1A2050" w:sz="1"/>
              <w:right w:val="single" w:color="1A2050" w:sz="1"/>
            </w:tcBorders>
            <w:shd w:fill="1E2761" w:val="clear"/>
            <w:tcMar>
              <w:top w:type="dxa" w:w="80"/>
              <w:left w:type="dxa" w:w="120"/>
              <w:bottom w:type="dxa" w:w="80"/>
              <w:right w:type="dxa" w:w="120"/>
            </w:tcMar>
          </w:tcPr>
          <w:p>
            <w:r>
              <w:rPr>
                <w:rFonts w:ascii="Arial" w:cs="Arial" w:eastAsia="Arial" w:hAnsi="Arial"/>
                <w:b/>
                <w:bCs/>
                <w:color w:val="FFFFFF"/>
                <w:sz w:val="18"/>
                <w:szCs w:val="18"/>
              </w:rPr>
              <w:t xml:space="preserve">Key Result</w:t>
            </w:r>
          </w:p>
        </w:tc>
        <w:tc>
          <w:tcPr>
            <w:tcW w:type="dxa" w:w="2760"/>
            <w:tcBorders>
              <w:top w:val="single" w:color="1A2050" w:sz="1"/>
              <w:left w:val="single" w:color="1A2050" w:sz="1"/>
              <w:bottom w:val="single" w:color="1A2050" w:sz="1"/>
              <w:right w:val="single" w:color="1A2050" w:sz="1"/>
            </w:tcBorders>
            <w:shd w:fill="1E2761"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D0D5E0" w:sz="1"/>
              <w:left w:val="single" w:color="D0D5E0" w:sz="1"/>
              <w:bottom w:val="single" w:color="D0D5E0" w:sz="1"/>
              <w:right w:val="single" w:color="D0D5E0" w:sz="1"/>
            </w:tcBorders>
            <w:tcMar>
              <w:top w:type="dxa" w:w="60"/>
              <w:left w:type="dxa" w:w="120"/>
              <w:bottom w:type="dxa" w:w="60"/>
              <w:right w:type="dxa" w:w="120"/>
            </w:tcMar>
          </w:tcPr>
          <w:p>
            <w:r>
              <w:rPr>
                <w:rFonts w:ascii="Arial" w:cs="Arial" w:eastAsia="Arial" w:hAnsi="Arial"/>
                <w:b/>
                <w:bCs/>
                <w:color w:val="1F2937"/>
                <w:sz w:val="17"/>
                <w:szCs w:val="17"/>
              </w:rPr>
              <w:t xml:space="preserve">01</w:t>
            </w:r>
          </w:p>
        </w:tc>
        <w:tc>
          <w:tcPr>
            <w:tcW w:type="dxa" w:w="2800"/>
            <w:tcBorders>
              <w:top w:val="single" w:color="D0D5E0" w:sz="1"/>
              <w:left w:val="single" w:color="D0D5E0" w:sz="1"/>
              <w:bottom w:val="single" w:color="D0D5E0" w:sz="1"/>
              <w:right w:val="single" w:color="D0D5E0" w:sz="1"/>
            </w:tcBorders>
            <w:tcMar>
              <w:top w:type="dxa" w:w="60"/>
              <w:left w:type="dxa" w:w="120"/>
              <w:bottom w:type="dxa" w:w="60"/>
              <w:right w:type="dxa" w:w="120"/>
            </w:tcMar>
          </w:tcPr>
          <w:p>
            <w:r>
              <w:rPr>
                <w:rFonts w:ascii="Arial" w:cs="Arial" w:eastAsia="Arial" w:hAnsi="Arial"/>
                <w:color w:val="1F2937"/>
                <w:sz w:val="17"/>
                <w:szCs w:val="17"/>
              </w:rPr>
              <w:t xml:space="preserve">Gold Standard (Acoustics)</w:t>
            </w:r>
          </w:p>
        </w:tc>
        <w:tc>
          <w:tcPr>
            <w:tcW w:type="dxa" w:w="3000"/>
            <w:tcBorders>
              <w:top w:val="single" w:color="D0D5E0" w:sz="1"/>
              <w:left w:val="single" w:color="D0D5E0" w:sz="1"/>
              <w:bottom w:val="single" w:color="D0D5E0" w:sz="1"/>
              <w:right w:val="single" w:color="D0D5E0" w:sz="1"/>
            </w:tcBorders>
            <w:tcMar>
              <w:top w:type="dxa" w:w="60"/>
              <w:left w:type="dxa" w:w="120"/>
              <w:bottom w:type="dxa" w:w="60"/>
              <w:right w:type="dxa" w:w="120"/>
            </w:tcMar>
          </w:tcPr>
          <w:p>
            <w:r>
              <w:rPr>
                <w:rFonts w:ascii="Arial" w:cs="Arial" w:eastAsia="Arial" w:hAnsi="Arial"/>
                <w:color w:val="1F2937"/>
                <w:sz w:val="17"/>
                <w:szCs w:val="17"/>
              </w:rPr>
              <w:t xml:space="preserve">PLL-EITT chain verified; R²=0.94</w:t>
            </w:r>
          </w:p>
        </w:tc>
        <w:tc>
          <w:tcPr>
            <w:tcW w:type="dxa" w:w="2760"/>
            <w:tcBorders>
              <w:top w:val="single" w:color="D0D5E0" w:sz="1"/>
              <w:left w:val="single" w:color="D0D5E0" w:sz="1"/>
              <w:bottom w:val="single" w:color="D0D5E0" w:sz="1"/>
              <w:right w:val="single" w:color="D0D5E0" w:sz="1"/>
            </w:tcBorders>
            <w:tcMar>
              <w:top w:type="dxa" w:w="60"/>
              <w:left w:type="dxa" w:w="120"/>
              <w:bottom w:type="dxa" w:w="60"/>
              <w:right w:type="dxa" w:w="120"/>
            </w:tcMar>
          </w:tcPr>
          <w:p>
            <w:r>
              <w:rPr>
                <w:rFonts w:ascii="Arial" w:cs="Arial" w:eastAsia="Arial" w:hAnsi="Arial"/>
                <w:b/>
                <w:bCs/>
                <w:color w:val="1F2937"/>
                <w:sz w:val="17"/>
                <w:szCs w:val="17"/>
              </w:rPr>
              <w:t xml:space="preserve">SEALED</w:t>
            </w:r>
          </w:p>
        </w:tc>
      </w:tr>
      <w:tr>
        <w:tc>
          <w:tcPr>
            <w:tcW w:type="dxa" w:w="800"/>
            <w:tcBorders>
              <w:top w:val="single" w:color="D0D5E0" w:sz="1"/>
              <w:left w:val="single" w:color="D0D5E0" w:sz="1"/>
              <w:bottom w:val="single" w:color="D0D5E0" w:sz="1"/>
              <w:right w:val="single" w:color="D0D5E0" w:sz="1"/>
            </w:tcBorders>
            <w:shd w:fill="F4F6FC" w:val="clear"/>
            <w:tcMar>
              <w:top w:type="dxa" w:w="60"/>
              <w:left w:type="dxa" w:w="120"/>
              <w:bottom w:type="dxa" w:w="60"/>
              <w:right w:type="dxa" w:w="120"/>
            </w:tcMar>
          </w:tcPr>
          <w:p>
            <w:r>
              <w:rPr>
                <w:rFonts w:ascii="Arial" w:cs="Arial" w:eastAsia="Arial" w:hAnsi="Arial"/>
                <w:b/>
                <w:bCs/>
                <w:color w:val="1F2937"/>
                <w:sz w:val="17"/>
                <w:szCs w:val="17"/>
              </w:rPr>
              <w:t xml:space="preserve">02</w:t>
            </w:r>
          </w:p>
        </w:tc>
        <w:tc>
          <w:tcPr>
            <w:tcW w:type="dxa" w:w="2800"/>
            <w:tcBorders>
              <w:top w:val="single" w:color="D0D5E0" w:sz="1"/>
              <w:left w:val="single" w:color="D0D5E0" w:sz="1"/>
              <w:bottom w:val="single" w:color="D0D5E0" w:sz="1"/>
              <w:right w:val="single" w:color="D0D5E0" w:sz="1"/>
            </w:tcBorders>
            <w:shd w:fill="F4F6FC" w:val="clear"/>
            <w:tcMar>
              <w:top w:type="dxa" w:w="60"/>
              <w:left w:type="dxa" w:w="120"/>
              <w:bottom w:type="dxa" w:w="60"/>
              <w:right w:type="dxa" w:w="120"/>
            </w:tcMar>
          </w:tcPr>
          <w:p>
            <w:r>
              <w:rPr>
                <w:rFonts w:ascii="Arial" w:cs="Arial" w:eastAsia="Arial" w:hAnsi="Arial"/>
                <w:color w:val="1F2937"/>
                <w:sz w:val="17"/>
                <w:szCs w:val="17"/>
              </w:rPr>
              <w:t xml:space="preserve">Backblaze HDD Reliability</w:t>
            </w:r>
          </w:p>
        </w:tc>
        <w:tc>
          <w:tcPr>
            <w:tcW w:type="dxa" w:w="3000"/>
            <w:tcBorders>
              <w:top w:val="single" w:color="D0D5E0" w:sz="1"/>
              <w:left w:val="single" w:color="D0D5E0" w:sz="1"/>
              <w:bottom w:val="single" w:color="D0D5E0" w:sz="1"/>
              <w:right w:val="single" w:color="D0D5E0" w:sz="1"/>
            </w:tcBorders>
            <w:shd w:fill="F4F6FC" w:val="clear"/>
            <w:tcMar>
              <w:top w:type="dxa" w:w="60"/>
              <w:left w:type="dxa" w:w="120"/>
              <w:bottom w:type="dxa" w:w="60"/>
              <w:right w:type="dxa" w:w="120"/>
            </w:tcMar>
          </w:tcPr>
          <w:p>
            <w:r>
              <w:rPr>
                <w:rFonts w:ascii="Arial" w:cs="Arial" w:eastAsia="Arial" w:hAnsi="Arial"/>
                <w:color w:val="1F2937"/>
                <w:sz w:val="17"/>
                <w:szCs w:val="17"/>
              </w:rPr>
              <w:t xml:space="preserve">Relay chain analysis; zero-sum constraint</w:t>
            </w:r>
          </w:p>
        </w:tc>
        <w:tc>
          <w:tcPr>
            <w:tcW w:type="dxa" w:w="2760"/>
            <w:tcBorders>
              <w:top w:val="single" w:color="D0D5E0" w:sz="1"/>
              <w:left w:val="single" w:color="D0D5E0" w:sz="1"/>
              <w:bottom w:val="single" w:color="D0D5E0" w:sz="1"/>
              <w:right w:val="single" w:color="D0D5E0" w:sz="1"/>
            </w:tcBorders>
            <w:shd w:fill="F4F6FC" w:val="clear"/>
            <w:tcMar>
              <w:top w:type="dxa" w:w="60"/>
              <w:left w:type="dxa" w:w="120"/>
              <w:bottom w:type="dxa" w:w="60"/>
              <w:right w:type="dxa" w:w="120"/>
            </w:tcMar>
          </w:tcPr>
          <w:p>
            <w:r>
              <w:rPr>
                <w:rFonts w:ascii="Arial" w:cs="Arial" w:eastAsia="Arial" w:hAnsi="Arial"/>
                <w:b/>
                <w:bCs/>
                <w:color w:val="1F2937"/>
                <w:sz w:val="17"/>
                <w:szCs w:val="17"/>
              </w:rPr>
              <w:t xml:space="preserve">SEALED</w:t>
            </w:r>
          </w:p>
        </w:tc>
      </w:tr>
      <w:tr>
        <w:tc>
          <w:tcPr>
            <w:tcW w:type="dxa" w:w="800"/>
            <w:tcBorders>
              <w:top w:val="single" w:color="D0D5E0" w:sz="1"/>
              <w:left w:val="single" w:color="D0D5E0" w:sz="1"/>
              <w:bottom w:val="single" w:color="D0D5E0" w:sz="1"/>
              <w:right w:val="single" w:color="D0D5E0" w:sz="1"/>
            </w:tcBorders>
            <w:tcMar>
              <w:top w:type="dxa" w:w="60"/>
              <w:left w:type="dxa" w:w="120"/>
              <w:bottom w:type="dxa" w:w="60"/>
              <w:right w:type="dxa" w:w="120"/>
            </w:tcMar>
          </w:tcPr>
          <w:p>
            <w:r>
              <w:rPr>
                <w:rFonts w:ascii="Arial" w:cs="Arial" w:eastAsia="Arial" w:hAnsi="Arial"/>
                <w:b/>
                <w:bCs/>
                <w:color w:val="1F2937"/>
                <w:sz w:val="17"/>
                <w:szCs w:val="17"/>
              </w:rPr>
              <w:t xml:space="preserve">03</w:t>
            </w:r>
          </w:p>
        </w:tc>
        <w:tc>
          <w:tcPr>
            <w:tcW w:type="dxa" w:w="2800"/>
            <w:tcBorders>
              <w:top w:val="single" w:color="D0D5E0" w:sz="1"/>
              <w:left w:val="single" w:color="D0D5E0" w:sz="1"/>
              <w:bottom w:val="single" w:color="D0D5E0" w:sz="1"/>
              <w:right w:val="single" w:color="D0D5E0" w:sz="1"/>
            </w:tcBorders>
            <w:tcMar>
              <w:top w:type="dxa" w:w="60"/>
              <w:left w:type="dxa" w:w="120"/>
              <w:bottom w:type="dxa" w:w="60"/>
              <w:right w:type="dxa" w:w="120"/>
            </w:tcMar>
          </w:tcPr>
          <w:p>
            <w:r>
              <w:rPr>
                <w:rFonts w:ascii="Arial" w:cs="Arial" w:eastAsia="Arial" w:hAnsi="Arial"/>
                <w:color w:val="1F2937"/>
                <w:sz w:val="17"/>
                <w:szCs w:val="17"/>
              </w:rPr>
              <w:t xml:space="preserve">Nuclear Binding (AME2020)</w:t>
            </w:r>
          </w:p>
        </w:tc>
        <w:tc>
          <w:tcPr>
            <w:tcW w:type="dxa" w:w="3000"/>
            <w:tcBorders>
              <w:top w:val="single" w:color="D0D5E0" w:sz="1"/>
              <w:left w:val="single" w:color="D0D5E0" w:sz="1"/>
              <w:bottom w:val="single" w:color="D0D5E0" w:sz="1"/>
              <w:right w:val="single" w:color="D0D5E0" w:sz="1"/>
            </w:tcBorders>
            <w:tcMar>
              <w:top w:type="dxa" w:w="60"/>
              <w:left w:type="dxa" w:w="120"/>
              <w:bottom w:type="dxa" w:w="60"/>
              <w:right w:type="dxa" w:w="120"/>
            </w:tcMar>
          </w:tcPr>
          <w:p>
            <w:r>
              <w:rPr>
                <w:rFonts w:ascii="Arial" w:cs="Arial" w:eastAsia="Arial" w:hAnsi="Arial"/>
                <w:color w:val="1F2937"/>
                <w:sz w:val="17"/>
                <w:szCs w:val="17"/>
              </w:rPr>
              <w:t xml:space="preserve">3,554 nuclides; valley = compositional balance</w:t>
            </w:r>
          </w:p>
        </w:tc>
        <w:tc>
          <w:tcPr>
            <w:tcW w:type="dxa" w:w="2760"/>
            <w:tcBorders>
              <w:top w:val="single" w:color="D0D5E0" w:sz="1"/>
              <w:left w:val="single" w:color="D0D5E0" w:sz="1"/>
              <w:bottom w:val="single" w:color="D0D5E0" w:sz="1"/>
              <w:right w:val="single" w:color="D0D5E0" w:sz="1"/>
            </w:tcBorders>
            <w:tcMar>
              <w:top w:type="dxa" w:w="60"/>
              <w:left w:type="dxa" w:w="120"/>
              <w:bottom w:type="dxa" w:w="60"/>
              <w:right w:type="dxa" w:w="120"/>
            </w:tcMar>
          </w:tcPr>
          <w:p>
            <w:r>
              <w:rPr>
                <w:rFonts w:ascii="Arial" w:cs="Arial" w:eastAsia="Arial" w:hAnsi="Arial"/>
                <w:b/>
                <w:bCs/>
                <w:color w:val="1F2937"/>
                <w:sz w:val="17"/>
                <w:szCs w:val="17"/>
              </w:rPr>
              <w:t xml:space="preserve">SEALED</w:t>
            </w:r>
          </w:p>
        </w:tc>
      </w:tr>
      <w:tr>
        <w:tc>
          <w:tcPr>
            <w:tcW w:type="dxa" w:w="800"/>
            <w:tcBorders>
              <w:top w:val="single" w:color="D0D5E0" w:sz="1"/>
              <w:left w:val="single" w:color="D0D5E0" w:sz="1"/>
              <w:bottom w:val="single" w:color="D0D5E0" w:sz="1"/>
              <w:right w:val="single" w:color="D0D5E0" w:sz="1"/>
            </w:tcBorders>
            <w:shd w:fill="F4F6FC" w:val="clear"/>
            <w:tcMar>
              <w:top w:type="dxa" w:w="60"/>
              <w:left w:type="dxa" w:w="120"/>
              <w:bottom w:type="dxa" w:w="60"/>
              <w:right w:type="dxa" w:w="120"/>
            </w:tcMar>
          </w:tcPr>
          <w:p>
            <w:r>
              <w:rPr>
                <w:rFonts w:ascii="Arial" w:cs="Arial" w:eastAsia="Arial" w:hAnsi="Arial"/>
                <w:b/>
                <w:bCs/>
                <w:color w:val="1F2937"/>
                <w:sz w:val="17"/>
                <w:szCs w:val="17"/>
              </w:rPr>
              <w:t xml:space="preserve">04</w:t>
            </w:r>
          </w:p>
        </w:tc>
        <w:tc>
          <w:tcPr>
            <w:tcW w:type="dxa" w:w="2800"/>
            <w:tcBorders>
              <w:top w:val="single" w:color="D0D5E0" w:sz="1"/>
              <w:left w:val="single" w:color="D0D5E0" w:sz="1"/>
              <w:bottom w:val="single" w:color="D0D5E0" w:sz="1"/>
              <w:right w:val="single" w:color="D0D5E0" w:sz="1"/>
            </w:tcBorders>
            <w:shd w:fill="F4F6FC" w:val="clear"/>
            <w:tcMar>
              <w:top w:type="dxa" w:w="60"/>
              <w:left w:type="dxa" w:w="120"/>
              <w:bottom w:type="dxa" w:w="60"/>
              <w:right w:type="dxa" w:w="120"/>
            </w:tcMar>
          </w:tcPr>
          <w:p>
            <w:r>
              <w:rPr>
                <w:rFonts w:ascii="Arial" w:cs="Arial" w:eastAsia="Arial" w:hAnsi="Arial"/>
                <w:color w:val="1F2937"/>
                <w:sz w:val="17"/>
                <w:szCs w:val="17"/>
              </w:rPr>
              <w:t xml:space="preserve">Microphone Valley</w:t>
            </w:r>
          </w:p>
        </w:tc>
        <w:tc>
          <w:tcPr>
            <w:tcW w:type="dxa" w:w="3000"/>
            <w:tcBorders>
              <w:top w:val="single" w:color="D0D5E0" w:sz="1"/>
              <w:left w:val="single" w:color="D0D5E0" w:sz="1"/>
              <w:bottom w:val="single" w:color="D0D5E0" w:sz="1"/>
              <w:right w:val="single" w:color="D0D5E0" w:sz="1"/>
            </w:tcBorders>
            <w:shd w:fill="F4F6FC" w:val="clear"/>
            <w:tcMar>
              <w:top w:type="dxa" w:w="60"/>
              <w:left w:type="dxa" w:w="120"/>
              <w:bottom w:type="dxa" w:w="60"/>
              <w:right w:type="dxa" w:w="120"/>
            </w:tcMar>
          </w:tcPr>
          <w:p>
            <w:r>
              <w:rPr>
                <w:rFonts w:ascii="Arial" w:cs="Arial" w:eastAsia="Arial" w:hAnsi="Arial"/>
                <w:color w:val="1F2937"/>
                <w:sz w:val="17"/>
                <w:szCs w:val="17"/>
              </w:rPr>
              <w:t xml:space="preserve">Acoustic composition; boundary diagnostics</w:t>
            </w:r>
          </w:p>
        </w:tc>
        <w:tc>
          <w:tcPr>
            <w:tcW w:type="dxa" w:w="2760"/>
            <w:tcBorders>
              <w:top w:val="single" w:color="D0D5E0" w:sz="1"/>
              <w:left w:val="single" w:color="D0D5E0" w:sz="1"/>
              <w:bottom w:val="single" w:color="D0D5E0" w:sz="1"/>
              <w:right w:val="single" w:color="D0D5E0" w:sz="1"/>
            </w:tcBorders>
            <w:shd w:fill="F4F6FC" w:val="clear"/>
            <w:tcMar>
              <w:top w:type="dxa" w:w="60"/>
              <w:left w:type="dxa" w:w="120"/>
              <w:bottom w:type="dxa" w:w="60"/>
              <w:right w:type="dxa" w:w="120"/>
            </w:tcMar>
          </w:tcPr>
          <w:p>
            <w:r>
              <w:rPr>
                <w:rFonts w:ascii="Arial" w:cs="Arial" w:eastAsia="Arial" w:hAnsi="Arial"/>
                <w:b/>
                <w:bCs/>
                <w:color w:val="1F2937"/>
                <w:sz w:val="17"/>
                <w:szCs w:val="17"/>
              </w:rPr>
              <w:t xml:space="preserve">SEALED</w:t>
            </w:r>
          </w:p>
        </w:tc>
      </w:tr>
      <w:tr>
        <w:tc>
          <w:tcPr>
            <w:tcW w:type="dxa" w:w="800"/>
            <w:tcBorders>
              <w:top w:val="single" w:color="D0D5E0" w:sz="1"/>
              <w:left w:val="single" w:color="D0D5E0" w:sz="1"/>
              <w:bottom w:val="single" w:color="D0D5E0" w:sz="1"/>
              <w:right w:val="single" w:color="D0D5E0" w:sz="1"/>
            </w:tcBorders>
            <w:tcMar>
              <w:top w:type="dxa" w:w="60"/>
              <w:left w:type="dxa" w:w="120"/>
              <w:bottom w:type="dxa" w:w="60"/>
              <w:right w:type="dxa" w:w="120"/>
            </w:tcMar>
          </w:tcPr>
          <w:p>
            <w:r>
              <w:rPr>
                <w:rFonts w:ascii="Arial" w:cs="Arial" w:eastAsia="Arial" w:hAnsi="Arial"/>
                <w:b/>
                <w:bCs/>
                <w:color w:val="1F2937"/>
                <w:sz w:val="17"/>
                <w:szCs w:val="17"/>
              </w:rPr>
              <w:t xml:space="preserve">05</w:t>
            </w:r>
          </w:p>
        </w:tc>
        <w:tc>
          <w:tcPr>
            <w:tcW w:type="dxa" w:w="2800"/>
            <w:tcBorders>
              <w:top w:val="single" w:color="D0D5E0" w:sz="1"/>
              <w:left w:val="single" w:color="D0D5E0" w:sz="1"/>
              <w:bottom w:val="single" w:color="D0D5E0" w:sz="1"/>
              <w:right w:val="single" w:color="D0D5E0" w:sz="1"/>
            </w:tcBorders>
            <w:tcMar>
              <w:top w:type="dxa" w:w="60"/>
              <w:left w:type="dxa" w:w="120"/>
              <w:bottom w:type="dxa" w:w="60"/>
              <w:right w:type="dxa" w:w="120"/>
            </w:tcMar>
          </w:tcPr>
          <w:p>
            <w:r>
              <w:rPr>
                <w:rFonts w:ascii="Arial" w:cs="Arial" w:eastAsia="Arial" w:hAnsi="Arial"/>
                <w:color w:val="1F2937"/>
                <w:sz w:val="17"/>
                <w:szCs w:val="17"/>
              </w:rPr>
              <w:t xml:space="preserve">Geochemistry</w:t>
            </w:r>
          </w:p>
        </w:tc>
        <w:tc>
          <w:tcPr>
            <w:tcW w:type="dxa" w:w="3000"/>
            <w:tcBorders>
              <w:top w:val="single" w:color="D0D5E0" w:sz="1"/>
              <w:left w:val="single" w:color="D0D5E0" w:sz="1"/>
              <w:bottom w:val="single" w:color="D0D5E0" w:sz="1"/>
              <w:right w:val="single" w:color="D0D5E0" w:sz="1"/>
            </w:tcBorders>
            <w:tcMar>
              <w:top w:type="dxa" w:w="60"/>
              <w:left w:type="dxa" w:w="120"/>
              <w:bottom w:type="dxa" w:w="60"/>
              <w:right w:type="dxa" w:w="120"/>
            </w:tcMar>
          </w:tcPr>
          <w:p>
            <w:r>
              <w:rPr>
                <w:rFonts w:ascii="Arial" w:cs="Arial" w:eastAsia="Arial" w:hAnsi="Arial"/>
                <w:color w:val="1F2937"/>
                <w:sz w:val="17"/>
                <w:szCs w:val="17"/>
              </w:rPr>
              <w:t xml:space="preserve">Oxide compositions; PLL across crustal elements</w:t>
            </w:r>
          </w:p>
        </w:tc>
        <w:tc>
          <w:tcPr>
            <w:tcW w:type="dxa" w:w="2760"/>
            <w:tcBorders>
              <w:top w:val="single" w:color="D0D5E0" w:sz="1"/>
              <w:left w:val="single" w:color="D0D5E0" w:sz="1"/>
              <w:bottom w:val="single" w:color="D0D5E0" w:sz="1"/>
              <w:right w:val="single" w:color="D0D5E0" w:sz="1"/>
            </w:tcBorders>
            <w:tcMar>
              <w:top w:type="dxa" w:w="60"/>
              <w:left w:type="dxa" w:w="120"/>
              <w:bottom w:type="dxa" w:w="60"/>
              <w:right w:type="dxa" w:w="120"/>
            </w:tcMar>
          </w:tcPr>
          <w:p>
            <w:r>
              <w:rPr>
                <w:rFonts w:ascii="Arial" w:cs="Arial" w:eastAsia="Arial" w:hAnsi="Arial"/>
                <w:b/>
                <w:bCs/>
                <w:color w:val="1F2937"/>
                <w:sz w:val="17"/>
                <w:szCs w:val="17"/>
              </w:rPr>
              <w:t xml:space="preserve">SEALED</w:t>
            </w:r>
          </w:p>
        </w:tc>
      </w:tr>
      <w:tr>
        <w:tc>
          <w:tcPr>
            <w:tcW w:type="dxa" w:w="800"/>
            <w:tcBorders>
              <w:top w:val="single" w:color="D0D5E0" w:sz="1"/>
              <w:left w:val="single" w:color="D0D5E0" w:sz="1"/>
              <w:bottom w:val="single" w:color="D0D5E0" w:sz="1"/>
              <w:right w:val="single" w:color="D0D5E0" w:sz="1"/>
            </w:tcBorders>
            <w:shd w:fill="F4F6FC" w:val="clear"/>
            <w:tcMar>
              <w:top w:type="dxa" w:w="60"/>
              <w:left w:type="dxa" w:w="120"/>
              <w:bottom w:type="dxa" w:w="60"/>
              <w:right w:type="dxa" w:w="120"/>
            </w:tcMar>
          </w:tcPr>
          <w:p>
            <w:r>
              <w:rPr>
                <w:rFonts w:ascii="Arial" w:cs="Arial" w:eastAsia="Arial" w:hAnsi="Arial"/>
                <w:b/>
                <w:bCs/>
                <w:color w:val="1F2937"/>
                <w:sz w:val="17"/>
                <w:szCs w:val="17"/>
              </w:rPr>
              <w:t xml:space="preserve">06</w:t>
            </w:r>
          </w:p>
        </w:tc>
        <w:tc>
          <w:tcPr>
            <w:tcW w:type="dxa" w:w="2800"/>
            <w:tcBorders>
              <w:top w:val="single" w:color="D0D5E0" w:sz="1"/>
              <w:left w:val="single" w:color="D0D5E0" w:sz="1"/>
              <w:bottom w:val="single" w:color="D0D5E0" w:sz="1"/>
              <w:right w:val="single" w:color="D0D5E0" w:sz="1"/>
            </w:tcBorders>
            <w:shd w:fill="F4F6FC" w:val="clear"/>
            <w:tcMar>
              <w:top w:type="dxa" w:w="60"/>
              <w:left w:type="dxa" w:w="120"/>
              <w:bottom w:type="dxa" w:w="60"/>
              <w:right w:type="dxa" w:w="120"/>
            </w:tcMar>
          </w:tcPr>
          <w:p>
            <w:r>
              <w:rPr>
                <w:rFonts w:ascii="Arial" w:cs="Arial" w:eastAsia="Arial" w:hAnsi="Arial"/>
                <w:color w:val="1F2937"/>
                <w:sz w:val="17"/>
                <w:szCs w:val="17"/>
              </w:rPr>
              <w:t xml:space="preserve">Nuclear Fusion</w:t>
            </w:r>
          </w:p>
        </w:tc>
        <w:tc>
          <w:tcPr>
            <w:tcW w:type="dxa" w:w="3000"/>
            <w:tcBorders>
              <w:top w:val="single" w:color="D0D5E0" w:sz="1"/>
              <w:left w:val="single" w:color="D0D5E0" w:sz="1"/>
              <w:bottom w:val="single" w:color="D0D5E0" w:sz="1"/>
              <w:right w:val="single" w:color="D0D5E0" w:sz="1"/>
            </w:tcBorders>
            <w:shd w:fill="F4F6FC" w:val="clear"/>
            <w:tcMar>
              <w:top w:type="dxa" w:w="60"/>
              <w:left w:type="dxa" w:w="120"/>
              <w:bottom w:type="dxa" w:w="60"/>
              <w:right w:type="dxa" w:w="120"/>
            </w:tcMar>
          </w:tcPr>
          <w:p>
            <w:r>
              <w:rPr>
                <w:rFonts w:ascii="Arial" w:cs="Arial" w:eastAsia="Arial" w:hAnsi="Arial"/>
                <w:color w:val="1F2937"/>
                <w:sz w:val="17"/>
                <w:szCs w:val="17"/>
              </w:rPr>
              <w:t xml:space="preserve">17 approaches; conduction trap; 50% Alpha boundary</w:t>
            </w:r>
          </w:p>
        </w:tc>
        <w:tc>
          <w:tcPr>
            <w:tcW w:type="dxa" w:w="2760"/>
            <w:tcBorders>
              <w:top w:val="single" w:color="D0D5E0" w:sz="1"/>
              <w:left w:val="single" w:color="D0D5E0" w:sz="1"/>
              <w:bottom w:val="single" w:color="D0D5E0" w:sz="1"/>
              <w:right w:val="single" w:color="D0D5E0" w:sz="1"/>
            </w:tcBorders>
            <w:shd w:fill="F4F6FC" w:val="clear"/>
            <w:tcMar>
              <w:top w:type="dxa" w:w="60"/>
              <w:left w:type="dxa" w:w="120"/>
              <w:bottom w:type="dxa" w:w="60"/>
              <w:right w:type="dxa" w:w="120"/>
            </w:tcMar>
          </w:tcPr>
          <w:p>
            <w:r>
              <w:rPr>
                <w:rFonts w:ascii="Arial" w:cs="Arial" w:eastAsia="Arial" w:hAnsi="Arial"/>
                <w:b/>
                <w:bCs/>
                <w:color w:val="1F2937"/>
                <w:sz w:val="17"/>
                <w:szCs w:val="17"/>
              </w:rPr>
              <w:t xml:space="preserve">SEALED</w:t>
            </w:r>
          </w:p>
        </w:tc>
      </w:tr>
      <w:tr>
        <w:tc>
          <w:tcPr>
            <w:tcW w:type="dxa" w:w="800"/>
            <w:tcBorders>
              <w:top w:val="single" w:color="D0D5E0" w:sz="1"/>
              <w:left w:val="single" w:color="D0D5E0" w:sz="1"/>
              <w:bottom w:val="single" w:color="D0D5E0" w:sz="1"/>
              <w:right w:val="single" w:color="D0D5E0" w:sz="1"/>
            </w:tcBorders>
            <w:tcMar>
              <w:top w:type="dxa" w:w="60"/>
              <w:left w:type="dxa" w:w="120"/>
              <w:bottom w:type="dxa" w:w="60"/>
              <w:right w:type="dxa" w:w="120"/>
            </w:tcMar>
          </w:tcPr>
          <w:p>
            <w:r>
              <w:rPr>
                <w:rFonts w:ascii="Arial" w:cs="Arial" w:eastAsia="Arial" w:hAnsi="Arial"/>
                <w:b/>
                <w:bCs/>
                <w:color w:val="1F2937"/>
                <w:sz w:val="17"/>
                <w:szCs w:val="17"/>
              </w:rPr>
              <w:t xml:space="preserve">07</w:t>
            </w:r>
          </w:p>
        </w:tc>
        <w:tc>
          <w:tcPr>
            <w:tcW w:type="dxa" w:w="2800"/>
            <w:tcBorders>
              <w:top w:val="single" w:color="D0D5E0" w:sz="1"/>
              <w:left w:val="single" w:color="D0D5E0" w:sz="1"/>
              <w:bottom w:val="single" w:color="D0D5E0" w:sz="1"/>
              <w:right w:val="single" w:color="D0D5E0" w:sz="1"/>
            </w:tcBorders>
            <w:tcMar>
              <w:top w:type="dxa" w:w="60"/>
              <w:left w:type="dxa" w:w="120"/>
              <w:bottom w:type="dxa" w:w="60"/>
              <w:right w:type="dxa" w:w="120"/>
            </w:tcMar>
          </w:tcPr>
          <w:p>
            <w:r>
              <w:rPr>
                <w:rFonts w:ascii="Arial" w:cs="Arial" w:eastAsia="Arial" w:hAnsi="Arial"/>
                <w:color w:val="1F2937"/>
                <w:sz w:val="17"/>
                <w:szCs w:val="17"/>
              </w:rPr>
              <w:t xml:space="preserve">Quark Scale</w:t>
            </w:r>
          </w:p>
        </w:tc>
        <w:tc>
          <w:tcPr>
            <w:tcW w:type="dxa" w:w="3000"/>
            <w:tcBorders>
              <w:top w:val="single" w:color="D0D5E0" w:sz="1"/>
              <w:left w:val="single" w:color="D0D5E0" w:sz="1"/>
              <w:bottom w:val="single" w:color="D0D5E0" w:sz="1"/>
              <w:right w:val="single" w:color="D0D5E0" w:sz="1"/>
            </w:tcBorders>
            <w:tcMar>
              <w:top w:type="dxa" w:w="60"/>
              <w:left w:type="dxa" w:w="120"/>
              <w:bottom w:type="dxa" w:w="60"/>
              <w:right w:type="dxa" w:w="120"/>
            </w:tcMar>
          </w:tcPr>
          <w:p>
            <w:r>
              <w:rPr>
                <w:rFonts w:ascii="Arial" w:cs="Arial" w:eastAsia="Arial" w:hAnsi="Arial"/>
                <w:color w:val="1F2937"/>
                <w:sz w:val="17"/>
                <w:szCs w:val="17"/>
              </w:rPr>
              <w:t xml:space="preserve">Hadron compositions; 12 quark mysteries scored</w:t>
            </w:r>
          </w:p>
        </w:tc>
        <w:tc>
          <w:tcPr>
            <w:tcW w:type="dxa" w:w="2760"/>
            <w:tcBorders>
              <w:top w:val="single" w:color="D0D5E0" w:sz="1"/>
              <w:left w:val="single" w:color="D0D5E0" w:sz="1"/>
              <w:bottom w:val="single" w:color="D0D5E0" w:sz="1"/>
              <w:right w:val="single" w:color="D0D5E0" w:sz="1"/>
            </w:tcBorders>
            <w:tcMar>
              <w:top w:type="dxa" w:w="60"/>
              <w:left w:type="dxa" w:w="120"/>
              <w:bottom w:type="dxa" w:w="60"/>
              <w:right w:type="dxa" w:w="120"/>
            </w:tcMar>
          </w:tcPr>
          <w:p>
            <w:r>
              <w:rPr>
                <w:rFonts w:ascii="Arial" w:cs="Arial" w:eastAsia="Arial" w:hAnsi="Arial"/>
                <w:b/>
                <w:bCs/>
                <w:color w:val="1F2937"/>
                <w:sz w:val="17"/>
                <w:szCs w:val="17"/>
              </w:rPr>
              <w:t xml:space="preserve">SEALED</w:t>
            </w:r>
          </w:p>
        </w:tc>
      </w:tr>
      <w:tr>
        <w:tc>
          <w:tcPr>
            <w:tcW w:type="dxa" w:w="800"/>
            <w:tcBorders>
              <w:top w:val="single" w:color="D0D5E0" w:sz="1"/>
              <w:left w:val="single" w:color="D0D5E0" w:sz="1"/>
              <w:bottom w:val="single" w:color="D0D5E0" w:sz="1"/>
              <w:right w:val="single" w:color="D0D5E0" w:sz="1"/>
            </w:tcBorders>
            <w:shd w:fill="F4F6FC" w:val="clear"/>
            <w:tcMar>
              <w:top w:type="dxa" w:w="60"/>
              <w:left w:type="dxa" w:w="120"/>
              <w:bottom w:type="dxa" w:w="60"/>
              <w:right w:type="dxa" w:w="120"/>
            </w:tcMar>
          </w:tcPr>
          <w:p>
            <w:r>
              <w:rPr>
                <w:rFonts w:ascii="Arial" w:cs="Arial" w:eastAsia="Arial" w:hAnsi="Arial"/>
                <w:b/>
                <w:bCs/>
                <w:color w:val="1F2937"/>
                <w:sz w:val="17"/>
                <w:szCs w:val="17"/>
              </w:rPr>
              <w:t xml:space="preserve">08</w:t>
            </w:r>
          </w:p>
        </w:tc>
        <w:tc>
          <w:tcPr>
            <w:tcW w:type="dxa" w:w="2800"/>
            <w:tcBorders>
              <w:top w:val="single" w:color="D0D5E0" w:sz="1"/>
              <w:left w:val="single" w:color="D0D5E0" w:sz="1"/>
              <w:bottom w:val="single" w:color="D0D5E0" w:sz="1"/>
              <w:right w:val="single" w:color="D0D5E0" w:sz="1"/>
            </w:tcBorders>
            <w:shd w:fill="F4F6FC" w:val="clear"/>
            <w:tcMar>
              <w:top w:type="dxa" w:w="60"/>
              <w:left w:type="dxa" w:w="120"/>
              <w:bottom w:type="dxa" w:w="60"/>
              <w:right w:type="dxa" w:w="120"/>
            </w:tcMar>
          </w:tcPr>
          <w:p>
            <w:r>
              <w:rPr>
                <w:rFonts w:ascii="Arial" w:cs="Arial" w:eastAsia="Arial" w:hAnsi="Arial"/>
                <w:color w:val="1F2937"/>
                <w:sz w:val="17"/>
                <w:szCs w:val="17"/>
              </w:rPr>
              <w:t xml:space="preserve">Composition Atlas</w:t>
            </w:r>
          </w:p>
        </w:tc>
        <w:tc>
          <w:tcPr>
            <w:tcW w:type="dxa" w:w="3000"/>
            <w:tcBorders>
              <w:top w:val="single" w:color="D0D5E0" w:sz="1"/>
              <w:left w:val="single" w:color="D0D5E0" w:sz="1"/>
              <w:bottom w:val="single" w:color="D0D5E0" w:sz="1"/>
              <w:right w:val="single" w:color="D0D5E0" w:sz="1"/>
            </w:tcBorders>
            <w:shd w:fill="F4F6FC" w:val="clear"/>
            <w:tcMar>
              <w:top w:type="dxa" w:w="60"/>
              <w:left w:type="dxa" w:w="120"/>
              <w:bottom w:type="dxa" w:w="60"/>
              <w:right w:type="dxa" w:w="120"/>
            </w:tcMar>
          </w:tcPr>
          <w:p>
            <w:r>
              <w:rPr>
                <w:rFonts w:ascii="Arial" w:cs="Arial" w:eastAsia="Arial" w:hAnsi="Arial"/>
                <w:color w:val="1F2937"/>
                <w:sz w:val="17"/>
                <w:szCs w:val="17"/>
              </w:rPr>
              <w:t xml:space="preserve">22 compositions charted; 4 SVG visualisations</w:t>
            </w:r>
          </w:p>
        </w:tc>
        <w:tc>
          <w:tcPr>
            <w:tcW w:type="dxa" w:w="2760"/>
            <w:tcBorders>
              <w:top w:val="single" w:color="D0D5E0" w:sz="1"/>
              <w:left w:val="single" w:color="D0D5E0" w:sz="1"/>
              <w:bottom w:val="single" w:color="D0D5E0" w:sz="1"/>
              <w:right w:val="single" w:color="D0D5E0" w:sz="1"/>
            </w:tcBorders>
            <w:shd w:fill="F4F6FC" w:val="clear"/>
            <w:tcMar>
              <w:top w:type="dxa" w:w="60"/>
              <w:left w:type="dxa" w:w="120"/>
              <w:bottom w:type="dxa" w:w="60"/>
              <w:right w:type="dxa" w:w="120"/>
            </w:tcMar>
          </w:tcPr>
          <w:p>
            <w:r>
              <w:rPr>
                <w:rFonts w:ascii="Arial" w:cs="Arial" w:eastAsia="Arial" w:hAnsi="Arial"/>
                <w:b/>
                <w:bCs/>
                <w:color w:val="1F2937"/>
                <w:sz w:val="17"/>
                <w:szCs w:val="17"/>
              </w:rPr>
              <w:t xml:space="preserve">SEALED</w:t>
            </w:r>
          </w:p>
        </w:tc>
      </w:tr>
      <w:tr>
        <w:tc>
          <w:tcPr>
            <w:tcW w:type="dxa" w:w="800"/>
            <w:tcBorders>
              <w:top w:val="single" w:color="D0D5E0" w:sz="1"/>
              <w:left w:val="single" w:color="D0D5E0" w:sz="1"/>
              <w:bottom w:val="single" w:color="D0D5E0" w:sz="1"/>
              <w:right w:val="single" w:color="D0D5E0" w:sz="1"/>
            </w:tcBorders>
            <w:tcMar>
              <w:top w:type="dxa" w:w="60"/>
              <w:left w:type="dxa" w:w="120"/>
              <w:bottom w:type="dxa" w:w="60"/>
              <w:right w:type="dxa" w:w="120"/>
            </w:tcMar>
          </w:tcPr>
          <w:p>
            <w:r>
              <w:rPr>
                <w:rFonts w:ascii="Arial" w:cs="Arial" w:eastAsia="Arial" w:hAnsi="Arial"/>
                <w:b/>
                <w:bCs/>
                <w:color w:val="1F2937"/>
                <w:sz w:val="17"/>
                <w:szCs w:val="17"/>
              </w:rPr>
              <w:t xml:space="preserve">09</w:t>
            </w:r>
          </w:p>
        </w:tc>
        <w:tc>
          <w:tcPr>
            <w:tcW w:type="dxa" w:w="2800"/>
            <w:tcBorders>
              <w:top w:val="single" w:color="D0D5E0" w:sz="1"/>
              <w:left w:val="single" w:color="D0D5E0" w:sz="1"/>
              <w:bottom w:val="single" w:color="D0D5E0" w:sz="1"/>
              <w:right w:val="single" w:color="D0D5E0" w:sz="1"/>
            </w:tcBorders>
            <w:tcMar>
              <w:top w:type="dxa" w:w="60"/>
              <w:left w:type="dxa" w:w="120"/>
              <w:bottom w:type="dxa" w:w="60"/>
              <w:right w:type="dxa" w:w="120"/>
            </w:tcMar>
          </w:tcPr>
          <w:p>
            <w:r>
              <w:rPr>
                <w:rFonts w:ascii="Arial" w:cs="Arial" w:eastAsia="Arial" w:hAnsi="Arial"/>
                <w:color w:val="1F2937"/>
                <w:sz w:val="17"/>
                <w:szCs w:val="17"/>
              </w:rPr>
              <w:t xml:space="preserve">Master Inventory</w:t>
            </w:r>
          </w:p>
        </w:tc>
        <w:tc>
          <w:tcPr>
            <w:tcW w:type="dxa" w:w="3000"/>
            <w:tcBorders>
              <w:top w:val="single" w:color="D0D5E0" w:sz="1"/>
              <w:left w:val="single" w:color="D0D5E0" w:sz="1"/>
              <w:bottom w:val="single" w:color="D0D5E0" w:sz="1"/>
              <w:right w:val="single" w:color="D0D5E0" w:sz="1"/>
            </w:tcBorders>
            <w:tcMar>
              <w:top w:type="dxa" w:w="60"/>
              <w:left w:type="dxa" w:w="120"/>
              <w:bottom w:type="dxa" w:w="60"/>
              <w:right w:type="dxa" w:w="120"/>
            </w:tcMar>
          </w:tcPr>
          <w:p>
            <w:r>
              <w:rPr>
                <w:rFonts w:ascii="Arial" w:cs="Arial" w:eastAsia="Arial" w:hAnsi="Arial"/>
                <w:color w:val="1F2937"/>
                <w:sz w:val="17"/>
                <w:szCs w:val="17"/>
              </w:rPr>
              <w:t xml:space="preserve">68→74 systems catalogued across 4 domains</w:t>
            </w:r>
          </w:p>
        </w:tc>
        <w:tc>
          <w:tcPr>
            <w:tcW w:type="dxa" w:w="2760"/>
            <w:tcBorders>
              <w:top w:val="single" w:color="D0D5E0" w:sz="1"/>
              <w:left w:val="single" w:color="D0D5E0" w:sz="1"/>
              <w:bottom w:val="single" w:color="D0D5E0" w:sz="1"/>
              <w:right w:val="single" w:color="D0D5E0" w:sz="1"/>
            </w:tcBorders>
            <w:tcMar>
              <w:top w:type="dxa" w:w="60"/>
              <w:left w:type="dxa" w:w="120"/>
              <w:bottom w:type="dxa" w:w="60"/>
              <w:right w:type="dxa" w:w="120"/>
            </w:tcMar>
          </w:tcPr>
          <w:p>
            <w:r>
              <w:rPr>
                <w:rFonts w:ascii="Arial" w:cs="Arial" w:eastAsia="Arial" w:hAnsi="Arial"/>
                <w:b/>
                <w:bCs/>
                <w:color w:val="1F2937"/>
                <w:sz w:val="17"/>
                <w:szCs w:val="17"/>
              </w:rPr>
              <w:t xml:space="preserve">SEALED</w:t>
            </w:r>
          </w:p>
        </w:tc>
      </w:tr>
      <w:tr>
        <w:tc>
          <w:tcPr>
            <w:tcW w:type="dxa" w:w="800"/>
            <w:tcBorders>
              <w:top w:val="single" w:color="D0D5E0" w:sz="1"/>
              <w:left w:val="single" w:color="D0D5E0" w:sz="1"/>
              <w:bottom w:val="single" w:color="D0D5E0" w:sz="1"/>
              <w:right w:val="single" w:color="D0D5E0" w:sz="1"/>
            </w:tcBorders>
            <w:shd w:fill="F4F6FC" w:val="clear"/>
            <w:tcMar>
              <w:top w:type="dxa" w:w="60"/>
              <w:left w:type="dxa" w:w="120"/>
              <w:bottom w:type="dxa" w:w="60"/>
              <w:right w:type="dxa" w:w="120"/>
            </w:tcMar>
          </w:tcPr>
          <w:p>
            <w:r>
              <w:rPr>
                <w:rFonts w:ascii="Arial" w:cs="Arial" w:eastAsia="Arial" w:hAnsi="Arial"/>
                <w:b/>
                <w:bCs/>
                <w:color w:val="1F2937"/>
                <w:sz w:val="17"/>
                <w:szCs w:val="17"/>
              </w:rPr>
              <w:t xml:space="preserve">10</w:t>
            </w:r>
          </w:p>
        </w:tc>
        <w:tc>
          <w:tcPr>
            <w:tcW w:type="dxa" w:w="2800"/>
            <w:tcBorders>
              <w:top w:val="single" w:color="D0D5E0" w:sz="1"/>
              <w:left w:val="single" w:color="D0D5E0" w:sz="1"/>
              <w:bottom w:val="single" w:color="D0D5E0" w:sz="1"/>
              <w:right w:val="single" w:color="D0D5E0" w:sz="1"/>
            </w:tcBorders>
            <w:shd w:fill="F4F6FC" w:val="clear"/>
            <w:tcMar>
              <w:top w:type="dxa" w:w="60"/>
              <w:left w:type="dxa" w:w="120"/>
              <w:bottom w:type="dxa" w:w="60"/>
              <w:right w:type="dxa" w:w="120"/>
            </w:tcMar>
          </w:tcPr>
          <w:p>
            <w:r>
              <w:rPr>
                <w:rFonts w:ascii="Arial" w:cs="Arial" w:eastAsia="Arial" w:hAnsi="Arial"/>
                <w:color w:val="1F2937"/>
                <w:sz w:val="17"/>
                <w:szCs w:val="17"/>
              </w:rPr>
              <w:t xml:space="preserve">Full Sweep</w:t>
            </w:r>
          </w:p>
        </w:tc>
        <w:tc>
          <w:tcPr>
            <w:tcW w:type="dxa" w:w="3000"/>
            <w:tcBorders>
              <w:top w:val="single" w:color="D0D5E0" w:sz="1"/>
              <w:left w:val="single" w:color="D0D5E0" w:sz="1"/>
              <w:bottom w:val="single" w:color="D0D5E0" w:sz="1"/>
              <w:right w:val="single" w:color="D0D5E0" w:sz="1"/>
            </w:tcBorders>
            <w:shd w:fill="F4F6FC" w:val="clear"/>
            <w:tcMar>
              <w:top w:type="dxa" w:w="60"/>
              <w:left w:type="dxa" w:w="120"/>
              <w:bottom w:type="dxa" w:w="60"/>
              <w:right w:type="dxa" w:w="120"/>
            </w:tcMar>
          </w:tcPr>
          <w:p>
            <w:r>
              <w:rPr>
                <w:rFonts w:ascii="Arial" w:cs="Arial" w:eastAsia="Arial" w:hAnsi="Arial"/>
                <w:color w:val="1F2937"/>
                <w:sz w:val="17"/>
                <w:szCs w:val="17"/>
              </w:rPr>
              <w:t xml:space="preserve">6 mapped + 6 extensions; CKM, PMNS, Higgs, DGLAP</w:t>
            </w:r>
          </w:p>
        </w:tc>
        <w:tc>
          <w:tcPr>
            <w:tcW w:type="dxa" w:w="2760"/>
            <w:tcBorders>
              <w:top w:val="single" w:color="D0D5E0" w:sz="1"/>
              <w:left w:val="single" w:color="D0D5E0" w:sz="1"/>
              <w:bottom w:val="single" w:color="D0D5E0" w:sz="1"/>
              <w:right w:val="single" w:color="D0D5E0" w:sz="1"/>
            </w:tcBorders>
            <w:shd w:fill="F4F6FC" w:val="clear"/>
            <w:tcMar>
              <w:top w:type="dxa" w:w="60"/>
              <w:left w:type="dxa" w:w="120"/>
              <w:bottom w:type="dxa" w:w="60"/>
              <w:right w:type="dxa" w:w="120"/>
            </w:tcMar>
          </w:tcPr>
          <w:p>
            <w:r>
              <w:rPr>
                <w:rFonts w:ascii="Arial" w:cs="Arial" w:eastAsia="Arial" w:hAnsi="Arial"/>
                <w:b/>
                <w:bCs/>
                <w:color w:val="1F2937"/>
                <w:sz w:val="17"/>
                <w:szCs w:val="17"/>
              </w:rPr>
              <w:t xml:space="preserve">SEALED</w:t>
            </w:r>
          </w:p>
        </w:tc>
      </w:tr>
      <w:tr>
        <w:tc>
          <w:tcPr>
            <w:tcW w:type="dxa" w:w="800"/>
            <w:tcBorders>
              <w:top w:val="single" w:color="D0D5E0" w:sz="1"/>
              <w:left w:val="single" w:color="D0D5E0" w:sz="1"/>
              <w:bottom w:val="single" w:color="D0D5E0" w:sz="1"/>
              <w:right w:val="single" w:color="D0D5E0" w:sz="1"/>
            </w:tcBorders>
            <w:tcMar>
              <w:top w:type="dxa" w:w="60"/>
              <w:left w:type="dxa" w:w="120"/>
              <w:bottom w:type="dxa" w:w="60"/>
              <w:right w:type="dxa" w:w="120"/>
            </w:tcMar>
          </w:tcPr>
          <w:p>
            <w:r>
              <w:rPr>
                <w:rFonts w:ascii="Arial" w:cs="Arial" w:eastAsia="Arial" w:hAnsi="Arial"/>
                <w:b/>
                <w:bCs/>
                <w:color w:val="1F2937"/>
                <w:sz w:val="17"/>
                <w:szCs w:val="17"/>
              </w:rPr>
              <w:t xml:space="preserve">11</w:t>
            </w:r>
          </w:p>
        </w:tc>
        <w:tc>
          <w:tcPr>
            <w:tcW w:type="dxa" w:w="2800"/>
            <w:tcBorders>
              <w:top w:val="single" w:color="D0D5E0" w:sz="1"/>
              <w:left w:val="single" w:color="D0D5E0" w:sz="1"/>
              <w:bottom w:val="single" w:color="D0D5E0" w:sz="1"/>
              <w:right w:val="single" w:color="D0D5E0" w:sz="1"/>
            </w:tcBorders>
            <w:tcMar>
              <w:top w:type="dxa" w:w="60"/>
              <w:left w:type="dxa" w:w="120"/>
              <w:bottom w:type="dxa" w:w="60"/>
              <w:right w:type="dxa" w:w="120"/>
            </w:tcMar>
          </w:tcPr>
          <w:p>
            <w:r>
              <w:rPr>
                <w:rFonts w:ascii="Arial" w:cs="Arial" w:eastAsia="Arial" w:hAnsi="Arial"/>
                <w:color w:val="1F2937"/>
                <w:sz w:val="17"/>
                <w:szCs w:val="17"/>
              </w:rPr>
              <w:t xml:space="preserve">Final Four</w:t>
            </w:r>
          </w:p>
        </w:tc>
        <w:tc>
          <w:tcPr>
            <w:tcW w:type="dxa" w:w="3000"/>
            <w:tcBorders>
              <w:top w:val="single" w:color="D0D5E0" w:sz="1"/>
              <w:left w:val="single" w:color="D0D5E0" w:sz="1"/>
              <w:bottom w:val="single" w:color="D0D5E0" w:sz="1"/>
              <w:right w:val="single" w:color="D0D5E0" w:sz="1"/>
            </w:tcBorders>
            <w:tcMar>
              <w:top w:type="dxa" w:w="60"/>
              <w:left w:type="dxa" w:w="120"/>
              <w:bottom w:type="dxa" w:w="60"/>
              <w:right w:type="dxa" w:w="120"/>
            </w:tcMar>
          </w:tcPr>
          <w:p>
            <w:r>
              <w:rPr>
                <w:rFonts w:ascii="Arial" w:cs="Arial" w:eastAsia="Arial" w:hAnsi="Arial"/>
                <w:color w:val="1F2937"/>
                <w:sz w:val="17"/>
                <w:szCs w:val="17"/>
              </w:rPr>
              <w:t xml:space="preserve">DM ratio, Z-chains, NS EOS, stellar sequence</w:t>
            </w:r>
          </w:p>
        </w:tc>
        <w:tc>
          <w:tcPr>
            <w:tcW w:type="dxa" w:w="2760"/>
            <w:tcBorders>
              <w:top w:val="single" w:color="D0D5E0" w:sz="1"/>
              <w:left w:val="single" w:color="D0D5E0" w:sz="1"/>
              <w:bottom w:val="single" w:color="D0D5E0" w:sz="1"/>
              <w:right w:val="single" w:color="D0D5E0" w:sz="1"/>
            </w:tcBorders>
            <w:tcMar>
              <w:top w:type="dxa" w:w="60"/>
              <w:left w:type="dxa" w:w="120"/>
              <w:bottom w:type="dxa" w:w="60"/>
              <w:right w:type="dxa" w:w="120"/>
            </w:tcMar>
          </w:tcPr>
          <w:p>
            <w:r>
              <w:rPr>
                <w:rFonts w:ascii="Arial" w:cs="Arial" w:eastAsia="Arial" w:hAnsi="Arial"/>
                <w:b/>
                <w:bCs/>
                <w:color w:val="1F2937"/>
                <w:sz w:val="17"/>
                <w:szCs w:val="17"/>
              </w:rPr>
              <w:t xml:space="preserve">SEALED</w:t>
            </w:r>
          </w:p>
        </w:tc>
      </w:tr>
      <w:tr>
        <w:tc>
          <w:tcPr>
            <w:tcW w:type="dxa" w:w="800"/>
            <w:tcBorders>
              <w:top w:val="single" w:color="D0D5E0" w:sz="1"/>
              <w:left w:val="single" w:color="D0D5E0" w:sz="1"/>
              <w:bottom w:val="single" w:color="D0D5E0" w:sz="1"/>
              <w:right w:val="single" w:color="D0D5E0" w:sz="1"/>
            </w:tcBorders>
            <w:shd w:fill="F4F6FC" w:val="clear"/>
            <w:tcMar>
              <w:top w:type="dxa" w:w="60"/>
              <w:left w:type="dxa" w:w="120"/>
              <w:bottom w:type="dxa" w:w="60"/>
              <w:right w:type="dxa" w:w="120"/>
            </w:tcMar>
          </w:tcPr>
          <w:p>
            <w:r>
              <w:rPr>
                <w:rFonts w:ascii="Arial" w:cs="Arial" w:eastAsia="Arial" w:hAnsi="Arial"/>
                <w:b/>
                <w:bCs/>
                <w:color w:val="1F2937"/>
                <w:sz w:val="17"/>
                <w:szCs w:val="17"/>
              </w:rPr>
              <w:t xml:space="preserve">12</w:t>
            </w:r>
          </w:p>
        </w:tc>
        <w:tc>
          <w:tcPr>
            <w:tcW w:type="dxa" w:w="2800"/>
            <w:tcBorders>
              <w:top w:val="single" w:color="D0D5E0" w:sz="1"/>
              <w:left w:val="single" w:color="D0D5E0" w:sz="1"/>
              <w:bottom w:val="single" w:color="D0D5E0" w:sz="1"/>
              <w:right w:val="single" w:color="D0D5E0" w:sz="1"/>
            </w:tcBorders>
            <w:shd w:fill="F4F6FC" w:val="clear"/>
            <w:tcMar>
              <w:top w:type="dxa" w:w="60"/>
              <w:left w:type="dxa" w:w="120"/>
              <w:bottom w:type="dxa" w:w="60"/>
              <w:right w:type="dxa" w:w="120"/>
            </w:tcMar>
          </w:tcPr>
          <w:p>
            <w:r>
              <w:rPr>
                <w:rFonts w:ascii="Arial" w:cs="Arial" w:eastAsia="Arial" w:hAnsi="Arial"/>
                <w:color w:val="1F2937"/>
                <w:sz w:val="17"/>
                <w:szCs w:val="17"/>
              </w:rPr>
              <w:t xml:space="preserve">Gravity Deep Dive</w:t>
            </w:r>
          </w:p>
        </w:tc>
        <w:tc>
          <w:tcPr>
            <w:tcW w:type="dxa" w:w="3000"/>
            <w:tcBorders>
              <w:top w:val="single" w:color="D0D5E0" w:sz="1"/>
              <w:left w:val="single" w:color="D0D5E0" w:sz="1"/>
              <w:bottom w:val="single" w:color="D0D5E0" w:sz="1"/>
              <w:right w:val="single" w:color="D0D5E0" w:sz="1"/>
            </w:tcBorders>
            <w:shd w:fill="F4F6FC" w:val="clear"/>
            <w:tcMar>
              <w:top w:type="dxa" w:w="60"/>
              <w:left w:type="dxa" w:w="120"/>
              <w:bottom w:type="dxa" w:w="60"/>
              <w:right w:type="dxa" w:w="120"/>
            </w:tcMar>
          </w:tcPr>
          <w:p>
            <w:r>
              <w:rPr>
                <w:rFonts w:ascii="Arial" w:cs="Arial" w:eastAsia="Arial" w:hAnsi="Arial"/>
                <w:color w:val="1F2937"/>
                <w:sz w:val="17"/>
                <w:szCs w:val="17"/>
              </w:rPr>
              <w:t xml:space="preserve">Gravity boundary map + LIGO GW150914 analysis</w:t>
            </w:r>
          </w:p>
        </w:tc>
        <w:tc>
          <w:tcPr>
            <w:tcW w:type="dxa" w:w="2760"/>
            <w:tcBorders>
              <w:top w:val="single" w:color="D0D5E0" w:sz="1"/>
              <w:left w:val="single" w:color="D0D5E0" w:sz="1"/>
              <w:bottom w:val="single" w:color="D0D5E0" w:sz="1"/>
              <w:right w:val="single" w:color="D0D5E0" w:sz="1"/>
            </w:tcBorders>
            <w:shd w:fill="F4F6FC" w:val="clear"/>
            <w:tcMar>
              <w:top w:type="dxa" w:w="60"/>
              <w:left w:type="dxa" w:w="120"/>
              <w:bottom w:type="dxa" w:w="60"/>
              <w:right w:type="dxa" w:w="120"/>
            </w:tcMar>
          </w:tcPr>
          <w:p>
            <w:r>
              <w:rPr>
                <w:rFonts w:ascii="Arial" w:cs="Arial" w:eastAsia="Arial" w:hAnsi="Arial"/>
                <w:b/>
                <w:bCs/>
                <w:color w:val="1F2937"/>
                <w:sz w:val="17"/>
                <w:szCs w:val="17"/>
              </w:rPr>
              <w:t xml:space="preserve">SEALED</w:t>
            </w:r>
          </w:p>
        </w:tc>
      </w:tr>
    </w:tbl>
    <w:p>
      <w:r>
        <w:br w:type="page"/>
      </w:r>
    </w:p>
    <w:p>
      <w:pPr>
        <w:pStyle w:val="Heading1"/>
        <w:spacing w:after="180" w:before="360"/>
      </w:pPr>
      <w:r>
        <w:rPr>
          <w:rFonts w:ascii="Georgia" w:cs="Georgia" w:eastAsia="Georgia" w:hAnsi="Georgia"/>
          <w:b/>
          <w:bCs/>
          <w:color w:val="1E2761"/>
          <w:sz w:val="32"/>
          <w:szCs w:val="32"/>
        </w:rPr>
        <w:t xml:space="preserve">The Gravity Study</w:t>
      </w:r>
    </w:p>
    <w:p>
      <w:pPr>
        <w:spacing w:after="100" w:before="60"/>
      </w:pPr>
      <w:r>
        <w:rPr>
          <w:rFonts w:ascii="Arial" w:cs="Arial" w:eastAsia="Arial" w:hAnsi="Arial"/>
          <w:b w:val="false"/>
          <w:bCs w:val="false"/>
          <w:i w:val="false"/>
          <w:iCs w:val="false"/>
          <w:color w:val="1F2937"/>
          <w:sz w:val="21"/>
          <w:szCs w:val="21"/>
        </w:rPr>
        <w:t xml:space="preserve">Experiments 11 and 12 constitute the gravity study — the final and most ambitious phase of the programme. Where earlier experiments treated gravity-domain systems individually, the gravity study asked a structural question: what role does gravity play across ALL compositions?</w:t>
      </w:r>
    </w:p>
    <w:p>
      <w:pPr>
        <w:pStyle w:val="Heading2"/>
        <w:spacing w:after="120" w:before="280"/>
      </w:pPr>
      <w:r>
        <w:rPr>
          <w:rFonts w:ascii="Georgia" w:cs="Georgia" w:eastAsia="Georgia" w:hAnsi="Georgia"/>
          <w:b/>
          <w:bCs/>
          <w:color w:val="2A3A7D"/>
          <w:sz w:val="26"/>
          <w:szCs w:val="26"/>
        </w:rPr>
        <w:t xml:space="preserve">Finding 1: The Gravity Activation Scale</w:t>
      </w:r>
    </w:p>
    <w:p>
      <w:pPr>
        <w:spacing w:after="100" w:before="60"/>
      </w:pPr>
      <w:r>
        <w:rPr>
          <w:rFonts w:ascii="Arial" w:cs="Arial" w:eastAsia="Arial" w:hAnsi="Arial"/>
          <w:b w:val="false"/>
          <w:bCs w:val="false"/>
          <w:i w:val="false"/>
          <w:iCs w:val="false"/>
          <w:color w:val="1F2937"/>
          <w:sz w:val="21"/>
          <w:szCs w:val="21"/>
        </w:rPr>
        <w:t xml:space="preserve">Gravity’s compositional role scales with system size. Below ~10⁷ m (stellar scale), gravity is compositionally silent — outmatched by the strong force by a factor of 10³⁸. Above stellar scale, gravity progressively takes over: first as a boundary-setter (determining core temperature and hence energy generation), then as a direct composition parameter (determining the DM/baryon mix), and finally as the sole composer at cosmological scale (Friedmann equations set all fractions).</w:t>
      </w:r>
    </w:p>
    <w:p>
      <w:pPr>
        <w:pBdr>
          <w:left w:val="single" w:color="1E2761" w:sz="18" w:space="10"/>
        </w:pBdr>
        <w:shd w:fill="EEF1FB" w:val="clear"/>
        <w:spacing w:after="160" w:before="160"/>
        <w:ind w:left="360"/>
      </w:pPr>
      <w:r>
        <w:rPr>
          <w:rFonts w:ascii="Georgia" w:cs="Georgia" w:eastAsia="Georgia" w:hAnsi="Georgia"/>
          <w:b/>
          <w:bCs/>
          <w:i/>
          <w:iCs/>
          <w:color w:val="1E2761"/>
          <w:sz w:val="22"/>
          <w:szCs w:val="22"/>
        </w:rPr>
        <w:t xml:space="preserve">Gravity transitions from NONE → ORTHOGONAL → BOUNDARY → DIRECT as scale increases. There is a sharp activation threshold at ~10⁷ m.</w:t>
      </w:r>
    </w:p>
    <w:p>
      <w:pPr>
        <w:pStyle w:val="Heading2"/>
        <w:spacing w:after="120" w:before="280"/>
      </w:pPr>
      <w:r>
        <w:rPr>
          <w:rFonts w:ascii="Georgia" w:cs="Georgia" w:eastAsia="Georgia" w:hAnsi="Georgia"/>
          <w:b/>
          <w:bCs/>
          <w:color w:val="2A3A7D"/>
          <w:sz w:val="26"/>
          <w:szCs w:val="26"/>
        </w:rPr>
        <w:t xml:space="preserve">Finding 2: Gravitational Leverage</w:t>
      </w:r>
    </w:p>
    <w:p>
      <w:pPr>
        <w:spacing w:after="100" w:before="60"/>
      </w:pPr>
      <w:r>
        <w:rPr>
          <w:rFonts w:ascii="Arial" w:cs="Arial" w:eastAsia="Arial" w:hAnsi="Arial"/>
          <w:b w:val="false"/>
          <w:bCs w:val="false"/>
          <w:i w:val="false"/>
          <w:iCs w:val="false"/>
          <w:color w:val="1F2937"/>
          <w:sz w:val="21"/>
          <w:szCs w:val="21"/>
        </w:rPr>
        <w:t xml:space="preserve">At the pp→CNO crossover (M ≈ 1.3 M☉), a 10% change in stellar mass changes H/H_max by 0.22. This is the gravity lever — the point of maximum gravitational influence on composition. In neutron stars, the muon threshold at 1.5ρ₀ is a topological leverage point where gravitational compression opens a new composition channel (3→4).</w:t>
      </w:r>
    </w:p>
    <w:p>
      <w:pPr>
        <w:pStyle w:val="Heading2"/>
        <w:spacing w:after="120" w:before="280"/>
      </w:pPr>
      <w:r>
        <w:rPr>
          <w:rFonts w:ascii="Georgia" w:cs="Georgia" w:eastAsia="Georgia" w:hAnsi="Georgia"/>
          <w:b/>
          <w:bCs/>
          <w:color w:val="2A3A7D"/>
          <w:sz w:val="26"/>
          <w:szCs w:val="26"/>
        </w:rPr>
        <w:t xml:space="preserve">Finding 3: LIGO — Gravity as Composer</w:t>
      </w:r>
    </w:p>
    <w:p>
      <w:pPr>
        <w:spacing w:after="100" w:before="60"/>
      </w:pPr>
      <w:r>
        <w:rPr>
          <w:rFonts w:ascii="Arial" w:cs="Arial" w:eastAsia="Arial" w:hAnsi="Arial"/>
          <w:b w:val="false"/>
          <w:bCs w:val="false"/>
          <w:i w:val="false"/>
          <w:iCs w:val="false"/>
          <w:color w:val="1F2937"/>
          <w:sz w:val="21"/>
          <w:szCs w:val="21"/>
        </w:rPr>
        <w:t xml:space="preserve">The GW150914 black hole merger mass budget (H/H_max = 0.175) is the lowest-entropy composition in the entire HUF programme. 95.4% of the total mass-energy ends up in the final black hole. This is gravity at maximum: not setting context, not creating boundaries — gravity IS the composition, and it drives everything into a single channel.</w:t>
      </w:r>
    </w:p>
    <w:p>
      <w:pPr>
        <w:pBdr>
          <w:left w:val="single" w:color="1E2761" w:sz="18" w:space="10"/>
        </w:pBdr>
        <w:shd w:fill="EEF1FB" w:val="clear"/>
        <w:spacing w:after="160" w:before="160"/>
        <w:ind w:left="360"/>
      </w:pPr>
      <w:r>
        <w:rPr>
          <w:rFonts w:ascii="Georgia" w:cs="Georgia" w:eastAsia="Georgia" w:hAnsi="Georgia"/>
          <w:b/>
          <w:bCs/>
          <w:i/>
          <w:iCs/>
          <w:color w:val="1E2761"/>
          <w:sz w:val="22"/>
          <w:szCs w:val="22"/>
        </w:rPr>
        <w:t xml:space="preserve">The no-hair theorem is a COMPOSITIONAL STATEMENT: maximum gravitational compression produces minimum compositional entropy. A Kerr black hole has only 2 parameters (M, a), so the ringdown must be dominated by one quasi-normal mode — and it is: (2,2,0) at 90%.</w:t>
      </w:r>
    </w:p>
    <w:p>
      <w:pPr>
        <w:pStyle w:val="Heading2"/>
        <w:spacing w:after="120" w:before="280"/>
      </w:pPr>
      <w:r>
        <w:rPr>
          <w:rFonts w:ascii="Georgia" w:cs="Georgia" w:eastAsia="Georgia" w:hAnsi="Georgia"/>
          <w:b/>
          <w:bCs/>
          <w:color w:val="2A3A7D"/>
          <w:sz w:val="26"/>
          <w:szCs w:val="26"/>
        </w:rPr>
        <w:t xml:space="preserve">Finding 4: The GW Phase Budget</w:t>
      </w:r>
    </w:p>
    <w:p>
      <w:pPr>
        <w:spacing w:after="100" w:before="60"/>
      </w:pPr>
      <w:r>
        <w:rPr>
          <w:rFonts w:ascii="Arial" w:cs="Arial" w:eastAsia="Arial" w:hAnsi="Arial"/>
          <w:b w:val="false"/>
          <w:bCs w:val="false"/>
          <w:i w:val="false"/>
          <w:iCs w:val="false"/>
          <w:color w:val="1F2937"/>
          <w:sz w:val="21"/>
          <w:szCs w:val="21"/>
        </w:rPr>
        <w:t xml:space="preserve">The gravitational wave energy distribution across inspiral (50%), merger (33%), and ringdown (17%) gives H/H_max = 0.923 — remarkably close to the 93% universal entropy bound that appears throughout HUF in proton mass (0.928), spin decomposition (0.969), and QGP fluidity. Even in pure gravity, the universal bound appears.</w:t>
      </w:r>
    </w:p>
    <w:p>
      <w:pPr>
        <w:pStyle w:val="Heading2"/>
        <w:spacing w:after="120" w:before="280"/>
      </w:pPr>
      <w:r>
        <w:rPr>
          <w:rFonts w:ascii="Georgia" w:cs="Georgia" w:eastAsia="Georgia" w:hAnsi="Georgia"/>
          <w:b/>
          <w:bCs/>
          <w:color w:val="2A3A7D"/>
          <w:sz w:val="26"/>
          <w:szCs w:val="26"/>
        </w:rPr>
        <w:t xml:space="preserve">Finding 5: BBH vs BNS — The Matter Bonus</w:t>
      </w:r>
    </w:p>
    <w:p>
      <w:pPr>
        <w:spacing w:after="100" w:before="60"/>
      </w:pPr>
      <w:r>
        <w:rPr>
          <w:rFonts w:ascii="Arial" w:cs="Arial" w:eastAsia="Arial" w:hAnsi="Arial"/>
          <w:b w:val="false"/>
          <w:bCs w:val="false"/>
          <w:i w:val="false"/>
          <w:iCs w:val="false"/>
          <w:color w:val="1F2937"/>
          <w:sz w:val="21"/>
          <w:szCs w:val="21"/>
        </w:rPr>
        <w:t xml:space="preserve">GW170817 (neutron star merger) has 5 output channels versus 3 for BBH: remnant, gravitational waves, kilonova ejecta, GRB jet, and neutrinos. Matter creates compositional diversity that vacuum gravity mergers cannot. However, the remnant still dominates at 96.7%, keeping H/H_max low (0.111). Baryonic content enriches the composition space but cannot overcome gravitational dominance.</w:t>
      </w:r>
    </w:p>
    <w:p>
      <w:r>
        <w:br w:type="page"/>
      </w:r>
    </w:p>
    <w:p>
      <w:pPr>
        <w:pStyle w:val="Heading1"/>
        <w:spacing w:after="180" w:before="360"/>
      </w:pPr>
      <w:r>
        <w:rPr>
          <w:rFonts w:ascii="Georgia" w:cs="Georgia" w:eastAsia="Georgia" w:hAnsi="Georgia"/>
          <w:b/>
          <w:bCs/>
          <w:color w:val="1E2761"/>
          <w:sz w:val="32"/>
          <w:szCs w:val="32"/>
        </w:rPr>
        <w:t xml:space="preserve">Universal Composition Transitions</w:t>
      </w:r>
    </w:p>
    <w:p>
      <w:pPr>
        <w:spacing w:after="100" w:before="60"/>
      </w:pPr>
      <w:r>
        <w:rPr>
          <w:rFonts w:ascii="Arial" w:cs="Arial" w:eastAsia="Arial" w:hAnsi="Arial"/>
          <w:b w:val="false"/>
          <w:bCs w:val="false"/>
          <w:i w:val="false"/>
          <w:iCs w:val="false"/>
          <w:color w:val="1F2937"/>
          <w:sz w:val="21"/>
          <w:szCs w:val="21"/>
        </w:rPr>
        <w:t xml:space="preserve">EITT identifies composition transitions across every scale. Each is a crossover where the dominant channel changes. The cross-scale map is the central result of the HUF programme.</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100"/>
        <w:gridCol w:w="3100"/>
        <w:gridCol w:w="2860"/>
      </w:tblGrid>
      <w:tr>
        <w:tc>
          <w:tcPr>
            <w:tcW w:type="dxa" w:w="1300"/>
            <w:tcBorders>
              <w:top w:val="single" w:color="1A2050" w:sz="1"/>
              <w:left w:val="single" w:color="1A2050" w:sz="1"/>
              <w:bottom w:val="single" w:color="1A2050" w:sz="1"/>
              <w:right w:val="single" w:color="1A2050" w:sz="1"/>
            </w:tcBorders>
            <w:shd w:fill="1E2761" w:val="clear"/>
            <w:tcMar>
              <w:top w:type="dxa" w:w="80"/>
              <w:left w:type="dxa" w:w="120"/>
              <w:bottom w:type="dxa" w:w="80"/>
              <w:right w:type="dxa" w:w="120"/>
            </w:tcMar>
          </w:tcPr>
          <w:p>
            <w:r>
              <w:rPr>
                <w:rFonts w:ascii="Arial" w:cs="Arial" w:eastAsia="Arial" w:hAnsi="Arial"/>
                <w:b/>
                <w:bCs/>
                <w:color w:val="FFFFFF"/>
                <w:sz w:val="18"/>
                <w:szCs w:val="18"/>
              </w:rPr>
              <w:t xml:space="preserve">Scale</w:t>
            </w:r>
          </w:p>
        </w:tc>
        <w:tc>
          <w:tcPr>
            <w:tcW w:type="dxa" w:w="2100"/>
            <w:tcBorders>
              <w:top w:val="single" w:color="1A2050" w:sz="1"/>
              <w:left w:val="single" w:color="1A2050" w:sz="1"/>
              <w:bottom w:val="single" w:color="1A2050" w:sz="1"/>
              <w:right w:val="single" w:color="1A2050" w:sz="1"/>
            </w:tcBorders>
            <w:shd w:fill="1E2761" w:val="clear"/>
            <w:tcMar>
              <w:top w:type="dxa" w:w="80"/>
              <w:left w:type="dxa" w:w="120"/>
              <w:bottom w:type="dxa" w:w="80"/>
              <w:right w:type="dxa" w:w="120"/>
            </w:tcMar>
          </w:tcPr>
          <w:p>
            <w:r>
              <w:rPr>
                <w:rFonts w:ascii="Arial" w:cs="Arial" w:eastAsia="Arial" w:hAnsi="Arial"/>
                <w:b/>
                <w:bCs/>
                <w:color w:val="FFFFFF"/>
                <w:sz w:val="18"/>
                <w:szCs w:val="18"/>
              </w:rPr>
              <w:t xml:space="preserve">System</w:t>
            </w:r>
          </w:p>
        </w:tc>
        <w:tc>
          <w:tcPr>
            <w:tcW w:type="dxa" w:w="3100"/>
            <w:tcBorders>
              <w:top w:val="single" w:color="1A2050" w:sz="1"/>
              <w:left w:val="single" w:color="1A2050" w:sz="1"/>
              <w:bottom w:val="single" w:color="1A2050" w:sz="1"/>
              <w:right w:val="single" w:color="1A2050" w:sz="1"/>
            </w:tcBorders>
            <w:shd w:fill="1E2761" w:val="clear"/>
            <w:tcMar>
              <w:top w:type="dxa" w:w="80"/>
              <w:left w:type="dxa" w:w="120"/>
              <w:bottom w:type="dxa" w:w="80"/>
              <w:right w:type="dxa" w:w="120"/>
            </w:tcMar>
          </w:tcPr>
          <w:p>
            <w:r>
              <w:rPr>
                <w:rFonts w:ascii="Arial" w:cs="Arial" w:eastAsia="Arial" w:hAnsi="Arial"/>
                <w:b/>
                <w:bCs/>
                <w:color w:val="FFFFFF"/>
                <w:sz w:val="18"/>
                <w:szCs w:val="18"/>
              </w:rPr>
              <w:t xml:space="preserve">Transition</w:t>
            </w:r>
          </w:p>
        </w:tc>
        <w:tc>
          <w:tcPr>
            <w:tcW w:type="dxa" w:w="2860"/>
            <w:tcBorders>
              <w:top w:val="single" w:color="1A2050" w:sz="1"/>
              <w:left w:val="single" w:color="1A2050" w:sz="1"/>
              <w:bottom w:val="single" w:color="1A2050" w:sz="1"/>
              <w:right w:val="single" w:color="1A2050" w:sz="1"/>
            </w:tcBorders>
            <w:shd w:fill="1E2761" w:val="clear"/>
            <w:tcMar>
              <w:top w:type="dxa" w:w="80"/>
              <w:left w:type="dxa" w:w="120"/>
              <w:bottom w:type="dxa" w:w="80"/>
              <w:right w:type="dxa" w:w="120"/>
            </w:tcMar>
          </w:tcPr>
          <w:p>
            <w:r>
              <w:rPr>
                <w:rFonts w:ascii="Arial" w:cs="Arial" w:eastAsia="Arial" w:hAnsi="Arial"/>
                <w:b/>
                <w:bCs/>
                <w:color w:val="FFFFFF"/>
                <w:sz w:val="18"/>
                <w:szCs w:val="18"/>
              </w:rPr>
              <w:t xml:space="preserve">Source</w:t>
            </w:r>
          </w:p>
        </w:tc>
      </w:tr>
      <w:tr>
        <w:tc>
          <w:tcPr>
            <w:tcW w:type="dxa" w:w="1300"/>
            <w:tcBorders>
              <w:top w:val="single" w:color="D0D5E0" w:sz="1"/>
              <w:left w:val="single" w:color="D0D5E0" w:sz="1"/>
              <w:bottom w:val="single" w:color="D0D5E0" w:sz="1"/>
              <w:right w:val="single" w:color="D0D5E0" w:sz="1"/>
            </w:tcBorders>
            <w:tcMar>
              <w:top w:type="dxa" w:w="60"/>
              <w:left w:type="dxa" w:w="120"/>
              <w:bottom w:type="dxa" w:w="60"/>
              <w:right w:type="dxa" w:w="120"/>
            </w:tcMar>
          </w:tcPr>
          <w:p>
            <w:r>
              <w:rPr>
                <w:rFonts w:ascii="Arial" w:cs="Arial" w:eastAsia="Arial" w:hAnsi="Arial"/>
                <w:b/>
                <w:bCs/>
                <w:color w:val="1F2937"/>
                <w:sz w:val="17"/>
                <w:szCs w:val="17"/>
              </w:rPr>
              <w:t xml:space="preserve">10⁻¹⁵ m</w:t>
            </w:r>
          </w:p>
        </w:tc>
        <w:tc>
          <w:tcPr>
            <w:tcW w:type="dxa" w:w="2100"/>
            <w:tcBorders>
              <w:top w:val="single" w:color="D0D5E0" w:sz="1"/>
              <w:left w:val="single" w:color="D0D5E0" w:sz="1"/>
              <w:bottom w:val="single" w:color="D0D5E0" w:sz="1"/>
              <w:right w:val="single" w:color="D0D5E0" w:sz="1"/>
            </w:tcBorders>
            <w:tcMar>
              <w:top w:type="dxa" w:w="60"/>
              <w:left w:type="dxa" w:w="120"/>
              <w:bottom w:type="dxa" w:w="60"/>
              <w:right w:type="dxa" w:w="120"/>
            </w:tcMar>
          </w:tcPr>
          <w:p>
            <w:r>
              <w:rPr>
                <w:rFonts w:ascii="Arial" w:cs="Arial" w:eastAsia="Arial" w:hAnsi="Arial"/>
                <w:b/>
                <w:bCs/>
                <w:color w:val="1F2937"/>
                <w:sz w:val="17"/>
                <w:szCs w:val="17"/>
              </w:rPr>
              <w:t xml:space="preserve">QCD (Cornell)</w:t>
            </w:r>
          </w:p>
        </w:tc>
        <w:tc>
          <w:tcPr>
            <w:tcW w:type="dxa" w:w="3100"/>
            <w:tcBorders>
              <w:top w:val="single" w:color="D0D5E0" w:sz="1"/>
              <w:left w:val="single" w:color="D0D5E0" w:sz="1"/>
              <w:bottom w:val="single" w:color="D0D5E0" w:sz="1"/>
              <w:right w:val="single" w:color="D0D5E0" w:sz="1"/>
            </w:tcBorders>
            <w:tcMar>
              <w:top w:type="dxa" w:w="60"/>
              <w:left w:type="dxa" w:w="120"/>
              <w:bottom w:type="dxa" w:w="60"/>
              <w:right w:type="dxa" w:w="120"/>
            </w:tcMar>
          </w:tcPr>
          <w:p>
            <w:r>
              <w:rPr>
                <w:rFonts w:ascii="Arial" w:cs="Arial" w:eastAsia="Arial" w:hAnsi="Arial"/>
                <w:color w:val="1F2937"/>
                <w:sz w:val="17"/>
                <w:szCs w:val="17"/>
              </w:rPr>
              <w:t xml:space="preserve">Coulomb → String at r = 0.7 fm</w:t>
            </w:r>
          </w:p>
        </w:tc>
        <w:tc>
          <w:tcPr>
            <w:tcW w:type="dxa" w:w="2860"/>
            <w:tcBorders>
              <w:top w:val="single" w:color="D0D5E0" w:sz="1"/>
              <w:left w:val="single" w:color="D0D5E0" w:sz="1"/>
              <w:bottom w:val="single" w:color="D0D5E0" w:sz="1"/>
              <w:right w:val="single" w:color="D0D5E0" w:sz="1"/>
            </w:tcBorders>
            <w:tcMar>
              <w:top w:type="dxa" w:w="60"/>
              <w:left w:type="dxa" w:w="120"/>
              <w:bottom w:type="dxa" w:w="60"/>
              <w:right w:type="dxa" w:w="120"/>
            </w:tcMar>
          </w:tcPr>
          <w:p>
            <w:r>
              <w:rPr>
                <w:rFonts w:ascii="Arial" w:cs="Arial" w:eastAsia="Arial" w:hAnsi="Arial"/>
                <w:color w:val="1F2937"/>
                <w:sz w:val="17"/>
                <w:szCs w:val="17"/>
              </w:rPr>
              <w:t xml:space="preserve">EXP-10</w:t>
            </w:r>
          </w:p>
        </w:tc>
      </w:tr>
      <w:tr>
        <w:tc>
          <w:tcPr>
            <w:tcW w:type="dxa" w:w="1300"/>
            <w:tcBorders>
              <w:top w:val="single" w:color="D0D5E0" w:sz="1"/>
              <w:left w:val="single" w:color="D0D5E0" w:sz="1"/>
              <w:bottom w:val="single" w:color="D0D5E0" w:sz="1"/>
              <w:right w:val="single" w:color="D0D5E0" w:sz="1"/>
            </w:tcBorders>
            <w:shd w:fill="F4F6FC" w:val="clear"/>
            <w:tcMar>
              <w:top w:type="dxa" w:w="60"/>
              <w:left w:type="dxa" w:w="120"/>
              <w:bottom w:type="dxa" w:w="60"/>
              <w:right w:type="dxa" w:w="120"/>
            </w:tcMar>
          </w:tcPr>
          <w:p>
            <w:r>
              <w:rPr>
                <w:rFonts w:ascii="Arial" w:cs="Arial" w:eastAsia="Arial" w:hAnsi="Arial"/>
                <w:b/>
                <w:bCs/>
                <w:color w:val="1F2937"/>
                <w:sz w:val="17"/>
                <w:szCs w:val="17"/>
              </w:rPr>
              <w:t xml:space="preserve">10⁻¹⁵ m</w:t>
            </w:r>
          </w:p>
        </w:tc>
        <w:tc>
          <w:tcPr>
            <w:tcW w:type="dxa" w:w="2100"/>
            <w:tcBorders>
              <w:top w:val="single" w:color="D0D5E0" w:sz="1"/>
              <w:left w:val="single" w:color="D0D5E0" w:sz="1"/>
              <w:bottom w:val="single" w:color="D0D5E0" w:sz="1"/>
              <w:right w:val="single" w:color="D0D5E0" w:sz="1"/>
            </w:tcBorders>
            <w:shd w:fill="F4F6FC" w:val="clear"/>
            <w:tcMar>
              <w:top w:type="dxa" w:w="60"/>
              <w:left w:type="dxa" w:w="120"/>
              <w:bottom w:type="dxa" w:w="60"/>
              <w:right w:type="dxa" w:w="120"/>
            </w:tcMar>
          </w:tcPr>
          <w:p>
            <w:r>
              <w:rPr>
                <w:rFonts w:ascii="Arial" w:cs="Arial" w:eastAsia="Arial" w:hAnsi="Arial"/>
                <w:b/>
                <w:bCs/>
                <w:color w:val="1F2937"/>
                <w:sz w:val="17"/>
                <w:szCs w:val="17"/>
              </w:rPr>
              <w:t xml:space="preserve">SEMF valley</w:t>
            </w:r>
          </w:p>
        </w:tc>
        <w:tc>
          <w:tcPr>
            <w:tcW w:type="dxa" w:w="3100"/>
            <w:tcBorders>
              <w:top w:val="single" w:color="D0D5E0" w:sz="1"/>
              <w:left w:val="single" w:color="D0D5E0" w:sz="1"/>
              <w:bottom w:val="single" w:color="D0D5E0" w:sz="1"/>
              <w:right w:val="single" w:color="D0D5E0" w:sz="1"/>
            </w:tcBorders>
            <w:shd w:fill="F4F6FC" w:val="clear"/>
            <w:tcMar>
              <w:top w:type="dxa" w:w="60"/>
              <w:left w:type="dxa" w:w="120"/>
              <w:bottom w:type="dxa" w:w="60"/>
              <w:right w:type="dxa" w:w="120"/>
            </w:tcMar>
          </w:tcPr>
          <w:p>
            <w:r>
              <w:rPr>
                <w:rFonts w:ascii="Arial" w:cs="Arial" w:eastAsia="Arial" w:hAnsi="Arial"/>
                <w:color w:val="1F2937"/>
                <w:sz w:val="17"/>
                <w:szCs w:val="17"/>
              </w:rPr>
              <w:t xml:space="preserve">Surface → Coulomb at A = 56</w:t>
            </w:r>
          </w:p>
        </w:tc>
        <w:tc>
          <w:tcPr>
            <w:tcW w:type="dxa" w:w="2860"/>
            <w:tcBorders>
              <w:top w:val="single" w:color="D0D5E0" w:sz="1"/>
              <w:left w:val="single" w:color="D0D5E0" w:sz="1"/>
              <w:bottom w:val="single" w:color="D0D5E0" w:sz="1"/>
              <w:right w:val="single" w:color="D0D5E0" w:sz="1"/>
            </w:tcBorders>
            <w:shd w:fill="F4F6FC" w:val="clear"/>
            <w:tcMar>
              <w:top w:type="dxa" w:w="60"/>
              <w:left w:type="dxa" w:w="120"/>
              <w:bottom w:type="dxa" w:w="60"/>
              <w:right w:type="dxa" w:w="120"/>
            </w:tcMar>
          </w:tcPr>
          <w:p>
            <w:r>
              <w:rPr>
                <w:rFonts w:ascii="Arial" w:cs="Arial" w:eastAsia="Arial" w:hAnsi="Arial"/>
                <w:color w:val="1F2937"/>
                <w:sz w:val="17"/>
                <w:szCs w:val="17"/>
              </w:rPr>
              <w:t xml:space="preserve">EXP-10</w:t>
            </w:r>
          </w:p>
        </w:tc>
      </w:tr>
      <w:tr>
        <w:tc>
          <w:tcPr>
            <w:tcW w:type="dxa" w:w="1300"/>
            <w:tcBorders>
              <w:top w:val="single" w:color="D0D5E0" w:sz="1"/>
              <w:left w:val="single" w:color="D0D5E0" w:sz="1"/>
              <w:bottom w:val="single" w:color="D0D5E0" w:sz="1"/>
              <w:right w:val="single" w:color="D0D5E0" w:sz="1"/>
            </w:tcBorders>
            <w:tcMar>
              <w:top w:type="dxa" w:w="60"/>
              <w:left w:type="dxa" w:w="120"/>
              <w:bottom w:type="dxa" w:w="60"/>
              <w:right w:type="dxa" w:w="120"/>
            </w:tcMar>
          </w:tcPr>
          <w:p>
            <w:r>
              <w:rPr>
                <w:rFonts w:ascii="Arial" w:cs="Arial" w:eastAsia="Arial" w:hAnsi="Arial"/>
                <w:b/>
                <w:bCs/>
                <w:color w:val="1F2937"/>
                <w:sz w:val="17"/>
                <w:szCs w:val="17"/>
              </w:rPr>
              <w:t xml:space="preserve">10⁻¹⁵ m</w:t>
            </w:r>
          </w:p>
        </w:tc>
        <w:tc>
          <w:tcPr>
            <w:tcW w:type="dxa" w:w="2100"/>
            <w:tcBorders>
              <w:top w:val="single" w:color="D0D5E0" w:sz="1"/>
              <w:left w:val="single" w:color="D0D5E0" w:sz="1"/>
              <w:bottom w:val="single" w:color="D0D5E0" w:sz="1"/>
              <w:right w:val="single" w:color="D0D5E0" w:sz="1"/>
            </w:tcBorders>
            <w:tcMar>
              <w:top w:type="dxa" w:w="60"/>
              <w:left w:type="dxa" w:w="120"/>
              <w:bottom w:type="dxa" w:w="60"/>
              <w:right w:type="dxa" w:w="120"/>
            </w:tcMar>
          </w:tcPr>
          <w:p>
            <w:r>
              <w:rPr>
                <w:rFonts w:ascii="Arial" w:cs="Arial" w:eastAsia="Arial" w:hAnsi="Arial"/>
                <w:b/>
                <w:bCs/>
                <w:color w:val="1F2937"/>
                <w:sz w:val="17"/>
                <w:szCs w:val="17"/>
              </w:rPr>
              <w:t xml:space="preserve">Z-chains</w:t>
            </w:r>
          </w:p>
        </w:tc>
        <w:tc>
          <w:tcPr>
            <w:tcW w:type="dxa" w:w="3100"/>
            <w:tcBorders>
              <w:top w:val="single" w:color="D0D5E0" w:sz="1"/>
              <w:left w:val="single" w:color="D0D5E0" w:sz="1"/>
              <w:bottom w:val="single" w:color="D0D5E0" w:sz="1"/>
              <w:right w:val="single" w:color="D0D5E0" w:sz="1"/>
            </w:tcBorders>
            <w:tcMar>
              <w:top w:type="dxa" w:w="60"/>
              <w:left w:type="dxa" w:w="120"/>
              <w:bottom w:type="dxa" w:w="60"/>
              <w:right w:type="dxa" w:w="120"/>
            </w:tcMar>
          </w:tcPr>
          <w:p>
            <w:r>
              <w:rPr>
                <w:rFonts w:ascii="Arial" w:cs="Arial" w:eastAsia="Arial" w:hAnsi="Arial"/>
                <w:color w:val="1F2937"/>
                <w:sz w:val="17"/>
                <w:szCs w:val="17"/>
              </w:rPr>
              <w:t xml:space="preserve">Asymmetry → Coulomb across isobars</w:t>
            </w:r>
          </w:p>
        </w:tc>
        <w:tc>
          <w:tcPr>
            <w:tcW w:type="dxa" w:w="2860"/>
            <w:tcBorders>
              <w:top w:val="single" w:color="D0D5E0" w:sz="1"/>
              <w:left w:val="single" w:color="D0D5E0" w:sz="1"/>
              <w:bottom w:val="single" w:color="D0D5E0" w:sz="1"/>
              <w:right w:val="single" w:color="D0D5E0" w:sz="1"/>
            </w:tcBorders>
            <w:tcMar>
              <w:top w:type="dxa" w:w="60"/>
              <w:left w:type="dxa" w:w="120"/>
              <w:bottom w:type="dxa" w:w="60"/>
              <w:right w:type="dxa" w:w="120"/>
            </w:tcMar>
          </w:tcPr>
          <w:p>
            <w:r>
              <w:rPr>
                <w:rFonts w:ascii="Arial" w:cs="Arial" w:eastAsia="Arial" w:hAnsi="Arial"/>
                <w:color w:val="1F2937"/>
                <w:sz w:val="17"/>
                <w:szCs w:val="17"/>
              </w:rPr>
              <w:t xml:space="preserve">EXP-11</w:t>
            </w:r>
          </w:p>
        </w:tc>
      </w:tr>
      <w:tr>
        <w:tc>
          <w:tcPr>
            <w:tcW w:type="dxa" w:w="1300"/>
            <w:tcBorders>
              <w:top w:val="single" w:color="D0D5E0" w:sz="1"/>
              <w:left w:val="single" w:color="D0D5E0" w:sz="1"/>
              <w:bottom w:val="single" w:color="D0D5E0" w:sz="1"/>
              <w:right w:val="single" w:color="D0D5E0" w:sz="1"/>
            </w:tcBorders>
            <w:shd w:fill="F4F6FC" w:val="clear"/>
            <w:tcMar>
              <w:top w:type="dxa" w:w="60"/>
              <w:left w:type="dxa" w:w="120"/>
              <w:bottom w:type="dxa" w:w="60"/>
              <w:right w:type="dxa" w:w="120"/>
            </w:tcMar>
          </w:tcPr>
          <w:p>
            <w:r>
              <w:rPr>
                <w:rFonts w:ascii="Arial" w:cs="Arial" w:eastAsia="Arial" w:hAnsi="Arial"/>
                <w:b/>
                <w:bCs/>
                <w:color w:val="1F2937"/>
                <w:sz w:val="17"/>
                <w:szCs w:val="17"/>
              </w:rPr>
              <w:t xml:space="preserve">10⁷ m</w:t>
            </w:r>
          </w:p>
        </w:tc>
        <w:tc>
          <w:tcPr>
            <w:tcW w:type="dxa" w:w="2100"/>
            <w:tcBorders>
              <w:top w:val="single" w:color="D0D5E0" w:sz="1"/>
              <w:left w:val="single" w:color="D0D5E0" w:sz="1"/>
              <w:bottom w:val="single" w:color="D0D5E0" w:sz="1"/>
              <w:right w:val="single" w:color="D0D5E0" w:sz="1"/>
            </w:tcBorders>
            <w:shd w:fill="F4F6FC" w:val="clear"/>
            <w:tcMar>
              <w:top w:type="dxa" w:w="60"/>
              <w:left w:type="dxa" w:w="120"/>
              <w:bottom w:type="dxa" w:w="60"/>
              <w:right w:type="dxa" w:w="120"/>
            </w:tcMar>
          </w:tcPr>
          <w:p>
            <w:r>
              <w:rPr>
                <w:rFonts w:ascii="Arial" w:cs="Arial" w:eastAsia="Arial" w:hAnsi="Arial"/>
                <w:b/>
                <w:bCs/>
                <w:color w:val="1F2937"/>
                <w:sz w:val="17"/>
                <w:szCs w:val="17"/>
              </w:rPr>
              <w:t xml:space="preserve">Stellar sequence</w:t>
            </w:r>
          </w:p>
        </w:tc>
        <w:tc>
          <w:tcPr>
            <w:tcW w:type="dxa" w:w="3100"/>
            <w:tcBorders>
              <w:top w:val="single" w:color="D0D5E0" w:sz="1"/>
              <w:left w:val="single" w:color="D0D5E0" w:sz="1"/>
              <w:bottom w:val="single" w:color="D0D5E0" w:sz="1"/>
              <w:right w:val="single" w:color="D0D5E0" w:sz="1"/>
            </w:tcBorders>
            <w:shd w:fill="F4F6FC" w:val="clear"/>
            <w:tcMar>
              <w:top w:type="dxa" w:w="60"/>
              <w:left w:type="dxa" w:w="120"/>
              <w:bottom w:type="dxa" w:w="60"/>
              <w:right w:type="dxa" w:w="120"/>
            </w:tcMar>
          </w:tcPr>
          <w:p>
            <w:r>
              <w:rPr>
                <w:rFonts w:ascii="Arial" w:cs="Arial" w:eastAsia="Arial" w:hAnsi="Arial"/>
                <w:color w:val="1F2937"/>
                <w:sz w:val="17"/>
                <w:szCs w:val="17"/>
              </w:rPr>
              <w:t xml:space="preserve">pp → CNO at M = 1.3 M☉</w:t>
            </w:r>
          </w:p>
        </w:tc>
        <w:tc>
          <w:tcPr>
            <w:tcW w:type="dxa" w:w="2860"/>
            <w:tcBorders>
              <w:top w:val="single" w:color="D0D5E0" w:sz="1"/>
              <w:left w:val="single" w:color="D0D5E0" w:sz="1"/>
              <w:bottom w:val="single" w:color="D0D5E0" w:sz="1"/>
              <w:right w:val="single" w:color="D0D5E0" w:sz="1"/>
            </w:tcBorders>
            <w:shd w:fill="F4F6FC" w:val="clear"/>
            <w:tcMar>
              <w:top w:type="dxa" w:w="60"/>
              <w:left w:type="dxa" w:w="120"/>
              <w:bottom w:type="dxa" w:w="60"/>
              <w:right w:type="dxa" w:w="120"/>
            </w:tcMar>
          </w:tcPr>
          <w:p>
            <w:r>
              <w:rPr>
                <w:rFonts w:ascii="Arial" w:cs="Arial" w:eastAsia="Arial" w:hAnsi="Arial"/>
                <w:color w:val="1F2937"/>
                <w:sz w:val="17"/>
                <w:szCs w:val="17"/>
              </w:rPr>
              <w:t xml:space="preserve">EXP-11</w:t>
            </w:r>
          </w:p>
        </w:tc>
      </w:tr>
      <w:tr>
        <w:tc>
          <w:tcPr>
            <w:tcW w:type="dxa" w:w="1300"/>
            <w:tcBorders>
              <w:top w:val="single" w:color="D0D5E0" w:sz="1"/>
              <w:left w:val="single" w:color="D0D5E0" w:sz="1"/>
              <w:bottom w:val="single" w:color="D0D5E0" w:sz="1"/>
              <w:right w:val="single" w:color="D0D5E0" w:sz="1"/>
            </w:tcBorders>
            <w:tcMar>
              <w:top w:type="dxa" w:w="60"/>
              <w:left w:type="dxa" w:w="120"/>
              <w:bottom w:type="dxa" w:w="60"/>
              <w:right w:type="dxa" w:w="120"/>
            </w:tcMar>
          </w:tcPr>
          <w:p>
            <w:r>
              <w:rPr>
                <w:rFonts w:ascii="Arial" w:cs="Arial" w:eastAsia="Arial" w:hAnsi="Arial"/>
                <w:b/>
                <w:bCs/>
                <w:color w:val="1F2937"/>
                <w:sz w:val="17"/>
                <w:szCs w:val="17"/>
              </w:rPr>
              <w:t xml:space="preserve">10¹⁰ m</w:t>
            </w:r>
          </w:p>
        </w:tc>
        <w:tc>
          <w:tcPr>
            <w:tcW w:type="dxa" w:w="2100"/>
            <w:tcBorders>
              <w:top w:val="single" w:color="D0D5E0" w:sz="1"/>
              <w:left w:val="single" w:color="D0D5E0" w:sz="1"/>
              <w:bottom w:val="single" w:color="D0D5E0" w:sz="1"/>
              <w:right w:val="single" w:color="D0D5E0" w:sz="1"/>
            </w:tcBorders>
            <w:tcMar>
              <w:top w:type="dxa" w:w="60"/>
              <w:left w:type="dxa" w:w="120"/>
              <w:bottom w:type="dxa" w:w="60"/>
              <w:right w:type="dxa" w:w="120"/>
            </w:tcMar>
          </w:tcPr>
          <w:p>
            <w:r>
              <w:rPr>
                <w:rFonts w:ascii="Arial" w:cs="Arial" w:eastAsia="Arial" w:hAnsi="Arial"/>
                <w:b/>
                <w:bCs/>
                <w:color w:val="1F2937"/>
                <w:sz w:val="17"/>
                <w:szCs w:val="17"/>
              </w:rPr>
              <w:t xml:space="preserve">Neutron star</w:t>
            </w:r>
          </w:p>
        </w:tc>
        <w:tc>
          <w:tcPr>
            <w:tcW w:type="dxa" w:w="3100"/>
            <w:tcBorders>
              <w:top w:val="single" w:color="D0D5E0" w:sz="1"/>
              <w:left w:val="single" w:color="D0D5E0" w:sz="1"/>
              <w:bottom w:val="single" w:color="D0D5E0" w:sz="1"/>
              <w:right w:val="single" w:color="D0D5E0" w:sz="1"/>
            </w:tcBorders>
            <w:tcMar>
              <w:top w:type="dxa" w:w="60"/>
              <w:left w:type="dxa" w:w="120"/>
              <w:bottom w:type="dxa" w:w="60"/>
              <w:right w:type="dxa" w:w="120"/>
            </w:tcMar>
          </w:tcPr>
          <w:p>
            <w:r>
              <w:rPr>
                <w:rFonts w:ascii="Arial" w:cs="Arial" w:eastAsia="Arial" w:hAnsi="Arial"/>
                <w:color w:val="1F2937"/>
                <w:sz w:val="17"/>
                <w:szCs w:val="17"/>
              </w:rPr>
              <w:t xml:space="preserve">3-ch → 4-ch at 1.5ρ₀ (muon birth)</w:t>
            </w:r>
          </w:p>
        </w:tc>
        <w:tc>
          <w:tcPr>
            <w:tcW w:type="dxa" w:w="2860"/>
            <w:tcBorders>
              <w:top w:val="single" w:color="D0D5E0" w:sz="1"/>
              <w:left w:val="single" w:color="D0D5E0" w:sz="1"/>
              <w:bottom w:val="single" w:color="D0D5E0" w:sz="1"/>
              <w:right w:val="single" w:color="D0D5E0" w:sz="1"/>
            </w:tcBorders>
            <w:tcMar>
              <w:top w:type="dxa" w:w="60"/>
              <w:left w:type="dxa" w:w="120"/>
              <w:bottom w:type="dxa" w:w="60"/>
              <w:right w:type="dxa" w:w="120"/>
            </w:tcMar>
          </w:tcPr>
          <w:p>
            <w:r>
              <w:rPr>
                <w:rFonts w:ascii="Arial" w:cs="Arial" w:eastAsia="Arial" w:hAnsi="Arial"/>
                <w:color w:val="1F2937"/>
                <w:sz w:val="17"/>
                <w:szCs w:val="17"/>
              </w:rPr>
              <w:t xml:space="preserve">EXP-11/12</w:t>
            </w:r>
          </w:p>
        </w:tc>
      </w:tr>
      <w:tr>
        <w:tc>
          <w:tcPr>
            <w:tcW w:type="dxa" w:w="1300"/>
            <w:tcBorders>
              <w:top w:val="single" w:color="D0D5E0" w:sz="1"/>
              <w:left w:val="single" w:color="D0D5E0" w:sz="1"/>
              <w:bottom w:val="single" w:color="D0D5E0" w:sz="1"/>
              <w:right w:val="single" w:color="D0D5E0" w:sz="1"/>
            </w:tcBorders>
            <w:shd w:fill="F4F6FC" w:val="clear"/>
            <w:tcMar>
              <w:top w:type="dxa" w:w="60"/>
              <w:left w:type="dxa" w:w="120"/>
              <w:bottom w:type="dxa" w:w="60"/>
              <w:right w:type="dxa" w:w="120"/>
            </w:tcMar>
          </w:tcPr>
          <w:p>
            <w:r>
              <w:rPr>
                <w:rFonts w:ascii="Arial" w:cs="Arial" w:eastAsia="Arial" w:hAnsi="Arial"/>
                <w:b/>
                <w:bCs/>
                <w:color w:val="1F2937"/>
                <w:sz w:val="17"/>
                <w:szCs w:val="17"/>
              </w:rPr>
              <w:t xml:space="preserve">10²⁰ m</w:t>
            </w:r>
          </w:p>
        </w:tc>
        <w:tc>
          <w:tcPr>
            <w:tcW w:type="dxa" w:w="2100"/>
            <w:tcBorders>
              <w:top w:val="single" w:color="D0D5E0" w:sz="1"/>
              <w:left w:val="single" w:color="D0D5E0" w:sz="1"/>
              <w:bottom w:val="single" w:color="D0D5E0" w:sz="1"/>
              <w:right w:val="single" w:color="D0D5E0" w:sz="1"/>
            </w:tcBorders>
            <w:shd w:fill="F4F6FC" w:val="clear"/>
            <w:tcMar>
              <w:top w:type="dxa" w:w="60"/>
              <w:left w:type="dxa" w:w="120"/>
              <w:bottom w:type="dxa" w:w="60"/>
              <w:right w:type="dxa" w:w="120"/>
            </w:tcMar>
          </w:tcPr>
          <w:p>
            <w:r>
              <w:rPr>
                <w:rFonts w:ascii="Arial" w:cs="Arial" w:eastAsia="Arial" w:hAnsi="Arial"/>
                <w:b/>
                <w:bCs/>
                <w:color w:val="1F2937"/>
                <w:sz w:val="17"/>
                <w:szCs w:val="17"/>
              </w:rPr>
              <w:t xml:space="preserve">Dark matter</w:t>
            </w:r>
          </w:p>
        </w:tc>
        <w:tc>
          <w:tcPr>
            <w:tcW w:type="dxa" w:w="3100"/>
            <w:tcBorders>
              <w:top w:val="single" w:color="D0D5E0" w:sz="1"/>
              <w:left w:val="single" w:color="D0D5E0" w:sz="1"/>
              <w:bottom w:val="single" w:color="D0D5E0" w:sz="1"/>
              <w:right w:val="single" w:color="D0D5E0" w:sz="1"/>
            </w:tcBorders>
            <w:shd w:fill="F4F6FC" w:val="clear"/>
            <w:tcMar>
              <w:top w:type="dxa" w:w="60"/>
              <w:left w:type="dxa" w:w="120"/>
              <w:bottom w:type="dxa" w:w="60"/>
              <w:right w:type="dxa" w:w="120"/>
            </w:tcMar>
          </w:tcPr>
          <w:p>
            <w:r>
              <w:rPr>
                <w:rFonts w:ascii="Arial" w:cs="Arial" w:eastAsia="Arial" w:hAnsi="Arial"/>
                <w:color w:val="1F2937"/>
                <w:sz w:val="17"/>
                <w:szCs w:val="17"/>
              </w:rPr>
              <w:t xml:space="preserve">Baryon → DM at galactic scale</w:t>
            </w:r>
          </w:p>
        </w:tc>
        <w:tc>
          <w:tcPr>
            <w:tcW w:type="dxa" w:w="2860"/>
            <w:tcBorders>
              <w:top w:val="single" w:color="D0D5E0" w:sz="1"/>
              <w:left w:val="single" w:color="D0D5E0" w:sz="1"/>
              <w:bottom w:val="single" w:color="D0D5E0" w:sz="1"/>
              <w:right w:val="single" w:color="D0D5E0" w:sz="1"/>
            </w:tcBorders>
            <w:shd w:fill="F4F6FC" w:val="clear"/>
            <w:tcMar>
              <w:top w:type="dxa" w:w="60"/>
              <w:left w:type="dxa" w:w="120"/>
              <w:bottom w:type="dxa" w:w="60"/>
              <w:right w:type="dxa" w:w="120"/>
            </w:tcMar>
          </w:tcPr>
          <w:p>
            <w:r>
              <w:rPr>
                <w:rFonts w:ascii="Arial" w:cs="Arial" w:eastAsia="Arial" w:hAnsi="Arial"/>
                <w:color w:val="1F2937"/>
                <w:sz w:val="17"/>
                <w:szCs w:val="17"/>
              </w:rPr>
              <w:t xml:space="preserve">EXP-11/12</w:t>
            </w:r>
          </w:p>
        </w:tc>
      </w:tr>
      <w:tr>
        <w:tc>
          <w:tcPr>
            <w:tcW w:type="dxa" w:w="1300"/>
            <w:tcBorders>
              <w:top w:val="single" w:color="D0D5E0" w:sz="1"/>
              <w:left w:val="single" w:color="D0D5E0" w:sz="1"/>
              <w:bottom w:val="single" w:color="D0D5E0" w:sz="1"/>
              <w:right w:val="single" w:color="D0D5E0" w:sz="1"/>
            </w:tcBorders>
            <w:tcMar>
              <w:top w:type="dxa" w:w="60"/>
              <w:left w:type="dxa" w:w="120"/>
              <w:bottom w:type="dxa" w:w="60"/>
              <w:right w:type="dxa" w:w="120"/>
            </w:tcMar>
          </w:tcPr>
          <w:p>
            <w:r>
              <w:rPr>
                <w:rFonts w:ascii="Arial" w:cs="Arial" w:eastAsia="Arial" w:hAnsi="Arial"/>
                <w:b/>
                <w:bCs/>
                <w:color w:val="1F2937"/>
                <w:sz w:val="17"/>
                <w:szCs w:val="17"/>
              </w:rPr>
              <w:t xml:space="preserve">10²⁶ m</w:t>
            </w:r>
          </w:p>
        </w:tc>
        <w:tc>
          <w:tcPr>
            <w:tcW w:type="dxa" w:w="2100"/>
            <w:tcBorders>
              <w:top w:val="single" w:color="D0D5E0" w:sz="1"/>
              <w:left w:val="single" w:color="D0D5E0" w:sz="1"/>
              <w:bottom w:val="single" w:color="D0D5E0" w:sz="1"/>
              <w:right w:val="single" w:color="D0D5E0" w:sz="1"/>
            </w:tcBorders>
            <w:tcMar>
              <w:top w:type="dxa" w:w="60"/>
              <w:left w:type="dxa" w:w="120"/>
              <w:bottom w:type="dxa" w:w="60"/>
              <w:right w:type="dxa" w:w="120"/>
            </w:tcMar>
          </w:tcPr>
          <w:p>
            <w:r>
              <w:rPr>
                <w:rFonts w:ascii="Arial" w:cs="Arial" w:eastAsia="Arial" w:hAnsi="Arial"/>
                <w:b/>
                <w:bCs/>
                <w:color w:val="1F2937"/>
                <w:sz w:val="17"/>
                <w:szCs w:val="17"/>
              </w:rPr>
              <w:t xml:space="preserve">Cosmic budget</w:t>
            </w:r>
          </w:p>
        </w:tc>
        <w:tc>
          <w:tcPr>
            <w:tcW w:type="dxa" w:w="3100"/>
            <w:tcBorders>
              <w:top w:val="single" w:color="D0D5E0" w:sz="1"/>
              <w:left w:val="single" w:color="D0D5E0" w:sz="1"/>
              <w:bottom w:val="single" w:color="D0D5E0" w:sz="1"/>
              <w:right w:val="single" w:color="D0D5E0" w:sz="1"/>
            </w:tcBorders>
            <w:tcMar>
              <w:top w:type="dxa" w:w="60"/>
              <w:left w:type="dxa" w:w="120"/>
              <w:bottom w:type="dxa" w:w="60"/>
              <w:right w:type="dxa" w:w="120"/>
            </w:tcMar>
          </w:tcPr>
          <w:p>
            <w:r>
              <w:rPr>
                <w:rFonts w:ascii="Arial" w:cs="Arial" w:eastAsia="Arial" w:hAnsi="Arial"/>
                <w:color w:val="1F2937"/>
                <w:sz w:val="17"/>
                <w:szCs w:val="17"/>
              </w:rPr>
              <w:t xml:space="preserve">Radiation → Matter → Dark Energy</w:t>
            </w:r>
          </w:p>
        </w:tc>
        <w:tc>
          <w:tcPr>
            <w:tcW w:type="dxa" w:w="2860"/>
            <w:tcBorders>
              <w:top w:val="single" w:color="D0D5E0" w:sz="1"/>
              <w:left w:val="single" w:color="D0D5E0" w:sz="1"/>
              <w:bottom w:val="single" w:color="D0D5E0" w:sz="1"/>
              <w:right w:val="single" w:color="D0D5E0" w:sz="1"/>
            </w:tcBorders>
            <w:tcMar>
              <w:top w:type="dxa" w:w="60"/>
              <w:left w:type="dxa" w:w="120"/>
              <w:bottom w:type="dxa" w:w="60"/>
              <w:right w:type="dxa" w:w="120"/>
            </w:tcMar>
          </w:tcPr>
          <w:p>
            <w:r>
              <w:rPr>
                <w:rFonts w:ascii="Arial" w:cs="Arial" w:eastAsia="Arial" w:hAnsi="Arial"/>
                <w:color w:val="1F2937"/>
                <w:sz w:val="17"/>
                <w:szCs w:val="17"/>
              </w:rPr>
              <w:t xml:space="preserve">EXP-10</w:t>
            </w:r>
          </w:p>
        </w:tc>
      </w:tr>
      <w:tr>
        <w:tc>
          <w:tcPr>
            <w:tcW w:type="dxa" w:w="1300"/>
            <w:tcBorders>
              <w:top w:val="single" w:color="D0D5E0" w:sz="1"/>
              <w:left w:val="single" w:color="D0D5E0" w:sz="1"/>
              <w:bottom w:val="single" w:color="D0D5E0" w:sz="1"/>
              <w:right w:val="single" w:color="D0D5E0" w:sz="1"/>
            </w:tcBorders>
            <w:shd w:fill="F4F6FC" w:val="clear"/>
            <w:tcMar>
              <w:top w:type="dxa" w:w="60"/>
              <w:left w:type="dxa" w:w="120"/>
              <w:bottom w:type="dxa" w:w="60"/>
              <w:right w:type="dxa" w:w="120"/>
            </w:tcMar>
          </w:tcPr>
          <w:p>
            <w:r>
              <w:rPr>
                <w:rFonts w:ascii="Arial" w:cs="Arial" w:eastAsia="Arial" w:hAnsi="Arial"/>
                <w:b/>
                <w:bCs/>
                <w:color w:val="1F2937"/>
                <w:sz w:val="17"/>
                <w:szCs w:val="17"/>
              </w:rPr>
              <w:t xml:space="preserve">10²⁶ m</w:t>
            </w:r>
          </w:p>
        </w:tc>
        <w:tc>
          <w:tcPr>
            <w:tcW w:type="dxa" w:w="2100"/>
            <w:tcBorders>
              <w:top w:val="single" w:color="D0D5E0" w:sz="1"/>
              <w:left w:val="single" w:color="D0D5E0" w:sz="1"/>
              <w:bottom w:val="single" w:color="D0D5E0" w:sz="1"/>
              <w:right w:val="single" w:color="D0D5E0" w:sz="1"/>
            </w:tcBorders>
            <w:shd w:fill="F4F6FC" w:val="clear"/>
            <w:tcMar>
              <w:top w:type="dxa" w:w="60"/>
              <w:left w:type="dxa" w:w="120"/>
              <w:bottom w:type="dxa" w:w="60"/>
              <w:right w:type="dxa" w:w="120"/>
            </w:tcMar>
          </w:tcPr>
          <w:p>
            <w:r>
              <w:rPr>
                <w:rFonts w:ascii="Arial" w:cs="Arial" w:eastAsia="Arial" w:hAnsi="Arial"/>
                <w:b/>
                <w:bCs/>
                <w:color w:val="1F2937"/>
                <w:sz w:val="17"/>
                <w:szCs w:val="17"/>
              </w:rPr>
              <w:t xml:space="preserve">BH merger</w:t>
            </w:r>
          </w:p>
        </w:tc>
        <w:tc>
          <w:tcPr>
            <w:tcW w:type="dxa" w:w="3100"/>
            <w:tcBorders>
              <w:top w:val="single" w:color="D0D5E0" w:sz="1"/>
              <w:left w:val="single" w:color="D0D5E0" w:sz="1"/>
              <w:bottom w:val="single" w:color="D0D5E0" w:sz="1"/>
              <w:right w:val="single" w:color="D0D5E0" w:sz="1"/>
            </w:tcBorders>
            <w:shd w:fill="F4F6FC" w:val="clear"/>
            <w:tcMar>
              <w:top w:type="dxa" w:w="60"/>
              <w:left w:type="dxa" w:w="120"/>
              <w:bottom w:type="dxa" w:w="60"/>
              <w:right w:type="dxa" w:w="120"/>
            </w:tcMar>
          </w:tcPr>
          <w:p>
            <w:r>
              <w:rPr>
                <w:rFonts w:ascii="Arial" w:cs="Arial" w:eastAsia="Arial" w:hAnsi="Arial"/>
                <w:color w:val="1F2937"/>
                <w:sz w:val="17"/>
                <w:szCs w:val="17"/>
              </w:rPr>
              <w:t xml:space="preserve">Mass → single BH (H = 0.175)</w:t>
            </w:r>
          </w:p>
        </w:tc>
        <w:tc>
          <w:tcPr>
            <w:tcW w:type="dxa" w:w="2860"/>
            <w:tcBorders>
              <w:top w:val="single" w:color="D0D5E0" w:sz="1"/>
              <w:left w:val="single" w:color="D0D5E0" w:sz="1"/>
              <w:bottom w:val="single" w:color="D0D5E0" w:sz="1"/>
              <w:right w:val="single" w:color="D0D5E0" w:sz="1"/>
            </w:tcBorders>
            <w:shd w:fill="F4F6FC" w:val="clear"/>
            <w:tcMar>
              <w:top w:type="dxa" w:w="60"/>
              <w:left w:type="dxa" w:w="120"/>
              <w:bottom w:type="dxa" w:w="60"/>
              <w:right w:type="dxa" w:w="120"/>
            </w:tcMar>
          </w:tcPr>
          <w:p>
            <w:r>
              <w:rPr>
                <w:rFonts w:ascii="Arial" w:cs="Arial" w:eastAsia="Arial" w:hAnsi="Arial"/>
                <w:color w:val="1F2937"/>
                <w:sz w:val="17"/>
                <w:szCs w:val="17"/>
              </w:rPr>
              <w:t xml:space="preserve">EXP-12</w:t>
            </w:r>
          </w:p>
        </w:tc>
      </w:tr>
    </w:tbl>
    <w:p>
      <w:pPr>
        <w:pBdr>
          <w:left w:val="single" w:color="1E2761" w:sz="18" w:space="10"/>
        </w:pBdr>
        <w:shd w:fill="EEF1FB" w:val="clear"/>
        <w:spacing w:after="160" w:before="160"/>
        <w:ind w:left="360"/>
      </w:pPr>
      <w:r>
        <w:rPr>
          <w:rFonts w:ascii="Georgia" w:cs="Georgia" w:eastAsia="Georgia" w:hAnsi="Georgia"/>
          <w:b/>
          <w:bCs/>
          <w:i/>
          <w:iCs/>
          <w:color w:val="1E2761"/>
          <w:sz w:val="22"/>
          <w:szCs w:val="22"/>
        </w:rPr>
        <w:t xml:space="preserve">8 composition transitions across 44 orders of magnitude, all diagnosed by the same three metrics: H/H_max, σ²_A, and PLL vertex location.</w:t>
      </w:r>
    </w:p>
    <w:p>
      <w:pPr>
        <w:pStyle w:val="Heading1"/>
        <w:spacing w:after="180" w:before="360"/>
      </w:pPr>
      <w:r>
        <w:rPr>
          <w:rFonts w:ascii="Georgia" w:cs="Georgia" w:eastAsia="Georgia" w:hAnsi="Georgia"/>
          <w:b/>
          <w:bCs/>
          <w:color w:val="1E2761"/>
          <w:sz w:val="32"/>
          <w:szCs w:val="32"/>
        </w:rPr>
        <w:t xml:space="preserve">Gravity’s Role in HUF</w:t>
      </w:r>
    </w:p>
    <w:p>
      <w:pPr>
        <w:spacing w:after="100" w:before="60"/>
      </w:pPr>
      <w:r>
        <w:rPr>
          <w:rFonts w:ascii="Arial" w:cs="Arial" w:eastAsia="Arial" w:hAnsi="Arial"/>
          <w:b w:val="false"/>
          <w:bCs w:val="false"/>
          <w:i w:val="false"/>
          <w:iCs w:val="false"/>
          <w:color w:val="1F2937"/>
          <w:sz w:val="21"/>
          <w:szCs w:val="21"/>
        </w:rPr>
        <w:t xml:space="preserve">The strong, electromagnetic, and weak forces generate compositional structure: channel fractions, entropy distributions, and variance metrics. Gravity generates compositional context — the density, temperature, and pressure under which compositions form. At stellar scale, gravity creates boundaries. At compact-object and cosmological scale, gravity becomes the composition itself.</w:t>
      </w:r>
    </w:p>
    <w:p>
      <w:pPr>
        <w:spacing w:after="100" w:before="60"/>
      </w:pPr>
      <w:r>
        <w:rPr>
          <w:rFonts w:ascii="Arial" w:cs="Arial" w:eastAsia="Arial" w:hAnsi="Arial"/>
          <w:b w:val="false"/>
          <w:bCs w:val="false"/>
          <w:i w:val="false"/>
          <w:iCs w:val="false"/>
          <w:color w:val="1F2937"/>
          <w:sz w:val="21"/>
          <w:szCs w:val="21"/>
        </w:rPr>
        <w:t xml:space="preserve">The 93% entropy bound appears in the GW phase budget (0.923) but not in mass budgets (0.175) or neutron star profiles (0.72 at 8ρ₀). Gravity-domain systems show entropy falling (Universe: 0.60→0.29) or capped well below the bound. This is gravity’s distinctive signature: it drives compositions toward single-channel dominance rather than toward the balanced equilibrium seen in nuclear and particle physics.</w:t>
      </w:r>
    </w:p>
    <w:p>
      <w:r>
        <w:br w:type="page"/>
      </w:r>
    </w:p>
    <w:p>
      <w:pPr>
        <w:pStyle w:val="Heading1"/>
        <w:spacing w:after="180" w:before="360"/>
      </w:pPr>
      <w:r>
        <w:rPr>
          <w:rFonts w:ascii="Georgia" w:cs="Georgia" w:eastAsia="Georgia" w:hAnsi="Georgia"/>
          <w:b/>
          <w:bCs/>
          <w:color w:val="1E2761"/>
          <w:sz w:val="32"/>
          <w:szCs w:val="32"/>
        </w:rPr>
        <w:t xml:space="preserve">Testable Predictions</w:t>
      </w:r>
    </w:p>
    <w:p>
      <w:pPr>
        <w:spacing w:after="100" w:before="60"/>
      </w:pPr>
      <w:r>
        <w:rPr>
          <w:rFonts w:ascii="Arial" w:cs="Arial" w:eastAsia="Arial" w:hAnsi="Arial"/>
          <w:b w:val="false"/>
          <w:bCs w:val="false"/>
          <w:i w:val="false"/>
          <w:iCs w:val="false"/>
          <w:color w:val="1F2937"/>
          <w:sz w:val="21"/>
          <w:szCs w:val="21"/>
        </w:rPr>
        <w:t xml:space="preserve">The gravity study and broader programme produce predictions verifiable with current or near-future facilities.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2560"/>
        <w:gridCol w:w="1800"/>
        <w:gridCol w:w="1900"/>
      </w:tblGrid>
      <w:tr>
        <w:tc>
          <w:tcPr>
            <w:tcW w:type="dxa" w:w="600"/>
            <w:tcBorders>
              <w:top w:val="single" w:color="1A2050" w:sz="1"/>
              <w:left w:val="single" w:color="1A2050" w:sz="1"/>
              <w:bottom w:val="single" w:color="1A2050" w:sz="1"/>
              <w:right w:val="single" w:color="1A2050" w:sz="1"/>
            </w:tcBorders>
            <w:shd w:fill="1E2761"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500"/>
            <w:tcBorders>
              <w:top w:val="single" w:color="1A2050" w:sz="1"/>
              <w:left w:val="single" w:color="1A2050" w:sz="1"/>
              <w:bottom w:val="single" w:color="1A2050" w:sz="1"/>
              <w:right w:val="single" w:color="1A2050" w:sz="1"/>
            </w:tcBorders>
            <w:shd w:fill="1E2761" w:val="clear"/>
            <w:tcMar>
              <w:top w:type="dxa" w:w="80"/>
              <w:left w:type="dxa" w:w="120"/>
              <w:bottom w:type="dxa" w:w="80"/>
              <w:right w:type="dxa" w:w="120"/>
            </w:tcMar>
          </w:tcPr>
          <w:p>
            <w:r>
              <w:rPr>
                <w:rFonts w:ascii="Arial" w:cs="Arial" w:eastAsia="Arial" w:hAnsi="Arial"/>
                <w:b/>
                <w:bCs/>
                <w:color w:val="FFFFFF"/>
                <w:sz w:val="18"/>
                <w:szCs w:val="18"/>
              </w:rPr>
              <w:t xml:space="preserve">Prediction</w:t>
            </w:r>
          </w:p>
        </w:tc>
        <w:tc>
          <w:tcPr>
            <w:tcW w:type="dxa" w:w="2560"/>
            <w:tcBorders>
              <w:top w:val="single" w:color="1A2050" w:sz="1"/>
              <w:left w:val="single" w:color="1A2050" w:sz="1"/>
              <w:bottom w:val="single" w:color="1A2050" w:sz="1"/>
              <w:right w:val="single" w:color="1A2050" w:sz="1"/>
            </w:tcBorders>
            <w:shd w:fill="1E2761" w:val="clear"/>
            <w:tcMar>
              <w:top w:type="dxa" w:w="80"/>
              <w:left w:type="dxa" w:w="120"/>
              <w:bottom w:type="dxa" w:w="80"/>
              <w:right w:type="dxa" w:w="120"/>
            </w:tcMar>
          </w:tcPr>
          <w:p>
            <w:r>
              <w:rPr>
                <w:rFonts w:ascii="Arial" w:cs="Arial" w:eastAsia="Arial" w:hAnsi="Arial"/>
                <w:b/>
                <w:bCs/>
                <w:color w:val="FFFFFF"/>
                <w:sz w:val="18"/>
                <w:szCs w:val="18"/>
              </w:rPr>
              <w:t xml:space="preserve">Observable</w:t>
            </w:r>
          </w:p>
        </w:tc>
        <w:tc>
          <w:tcPr>
            <w:tcW w:type="dxa" w:w="1800"/>
            <w:tcBorders>
              <w:top w:val="single" w:color="1A2050" w:sz="1"/>
              <w:left w:val="single" w:color="1A2050" w:sz="1"/>
              <w:bottom w:val="single" w:color="1A2050" w:sz="1"/>
              <w:right w:val="single" w:color="1A2050" w:sz="1"/>
            </w:tcBorders>
            <w:shd w:fill="1E2761" w:val="clear"/>
            <w:tcMar>
              <w:top w:type="dxa" w:w="80"/>
              <w:left w:type="dxa" w:w="120"/>
              <w:bottom w:type="dxa" w:w="80"/>
              <w:right w:type="dxa" w:w="120"/>
            </w:tcMar>
          </w:tcPr>
          <w:p>
            <w:r>
              <w:rPr>
                <w:rFonts w:ascii="Arial" w:cs="Arial" w:eastAsia="Arial" w:hAnsi="Arial"/>
                <w:b/>
                <w:bCs/>
                <w:color w:val="FFFFFF"/>
                <w:sz w:val="18"/>
                <w:szCs w:val="18"/>
              </w:rPr>
              <w:t xml:space="preserve">Facility</w:t>
            </w:r>
          </w:p>
        </w:tc>
        <w:tc>
          <w:tcPr>
            <w:tcW w:type="dxa" w:w="1900"/>
            <w:tcBorders>
              <w:top w:val="single" w:color="1A2050" w:sz="1"/>
              <w:left w:val="single" w:color="1A2050" w:sz="1"/>
              <w:bottom w:val="single" w:color="1A2050" w:sz="1"/>
              <w:right w:val="single" w:color="1A2050" w:sz="1"/>
            </w:tcBorders>
            <w:shd w:fill="1E2761" w:val="clear"/>
            <w:tcMar>
              <w:top w:type="dxa" w:w="80"/>
              <w:left w:type="dxa" w:w="120"/>
              <w:bottom w:type="dxa" w:w="80"/>
              <w:right w:type="dxa" w:w="120"/>
            </w:tcMar>
          </w:tcPr>
          <w:p>
            <w:r>
              <w:rPr>
                <w:rFonts w:ascii="Arial" w:cs="Arial" w:eastAsia="Arial" w:hAnsi="Arial"/>
                <w:b/>
                <w:bCs/>
                <w:color w:val="FFFFFF"/>
                <w:sz w:val="18"/>
                <w:szCs w:val="18"/>
              </w:rPr>
              <w:t xml:space="preserve">Source</w:t>
            </w:r>
          </w:p>
        </w:tc>
      </w:tr>
      <w:tr>
        <w:tc>
          <w:tcPr>
            <w:tcW w:type="dxa" w:w="600"/>
            <w:tcBorders>
              <w:top w:val="single" w:color="D0D5E0" w:sz="1"/>
              <w:left w:val="single" w:color="D0D5E0" w:sz="1"/>
              <w:bottom w:val="single" w:color="D0D5E0" w:sz="1"/>
              <w:right w:val="single" w:color="D0D5E0" w:sz="1"/>
            </w:tcBorders>
            <w:tcMar>
              <w:top w:type="dxa" w:w="60"/>
              <w:left w:type="dxa" w:w="120"/>
              <w:bottom w:type="dxa" w:w="60"/>
              <w:right w:type="dxa" w:w="120"/>
            </w:tcMar>
          </w:tcPr>
          <w:p>
            <w:r>
              <w:rPr>
                <w:rFonts w:ascii="Arial" w:cs="Arial" w:eastAsia="Arial" w:hAnsi="Arial"/>
                <w:b/>
                <w:bCs/>
                <w:color w:val="1F2937"/>
                <w:sz w:val="17"/>
                <w:szCs w:val="17"/>
              </w:rPr>
              <w:t xml:space="preserve">1</w:t>
            </w:r>
          </w:p>
        </w:tc>
        <w:tc>
          <w:tcPr>
            <w:tcW w:type="dxa" w:w="2500"/>
            <w:tcBorders>
              <w:top w:val="single" w:color="D0D5E0" w:sz="1"/>
              <w:left w:val="single" w:color="D0D5E0" w:sz="1"/>
              <w:bottom w:val="single" w:color="D0D5E0" w:sz="1"/>
              <w:right w:val="single" w:color="D0D5E0" w:sz="1"/>
            </w:tcBorders>
            <w:tcMar>
              <w:top w:type="dxa" w:w="60"/>
              <w:left w:type="dxa" w:w="120"/>
              <w:bottom w:type="dxa" w:w="60"/>
              <w:right w:type="dxa" w:w="120"/>
            </w:tcMar>
          </w:tcPr>
          <w:p>
            <w:r>
              <w:rPr>
                <w:rFonts w:ascii="Arial" w:cs="Arial" w:eastAsia="Arial" w:hAnsi="Arial"/>
                <w:color w:val="1F2937"/>
                <w:sz w:val="17"/>
                <w:szCs w:val="17"/>
              </w:rPr>
              <w:t xml:space="preserve">EMC slope ↔ σ²_A ratio (r = –0.984)</w:t>
            </w:r>
          </w:p>
        </w:tc>
        <w:tc>
          <w:tcPr>
            <w:tcW w:type="dxa" w:w="2560"/>
            <w:tcBorders>
              <w:top w:val="single" w:color="D0D5E0" w:sz="1"/>
              <w:left w:val="single" w:color="D0D5E0" w:sz="1"/>
              <w:bottom w:val="single" w:color="D0D5E0" w:sz="1"/>
              <w:right w:val="single" w:color="D0D5E0" w:sz="1"/>
            </w:tcBorders>
            <w:tcMar>
              <w:top w:type="dxa" w:w="60"/>
              <w:left w:type="dxa" w:w="120"/>
              <w:bottom w:type="dxa" w:w="60"/>
              <w:right w:type="dxa" w:w="120"/>
            </w:tcMar>
          </w:tcPr>
          <w:p>
            <w:r>
              <w:rPr>
                <w:rFonts w:ascii="Arial" w:cs="Arial" w:eastAsia="Arial" w:hAnsi="Arial"/>
                <w:color w:val="1F2937"/>
                <w:sz w:val="17"/>
                <w:szCs w:val="17"/>
              </w:rPr>
              <w:t xml:space="preserve">Modified parton distributions in nuclei</w:t>
            </w:r>
          </w:p>
        </w:tc>
        <w:tc>
          <w:tcPr>
            <w:tcW w:type="dxa" w:w="1800"/>
            <w:tcBorders>
              <w:top w:val="single" w:color="D0D5E0" w:sz="1"/>
              <w:left w:val="single" w:color="D0D5E0" w:sz="1"/>
              <w:bottom w:val="single" w:color="D0D5E0" w:sz="1"/>
              <w:right w:val="single" w:color="D0D5E0" w:sz="1"/>
            </w:tcBorders>
            <w:tcMar>
              <w:top w:type="dxa" w:w="60"/>
              <w:left w:type="dxa" w:w="120"/>
              <w:bottom w:type="dxa" w:w="60"/>
              <w:right w:type="dxa" w:w="120"/>
            </w:tcMar>
          </w:tcPr>
          <w:p>
            <w:r>
              <w:rPr>
                <w:rFonts w:ascii="Arial" w:cs="Arial" w:eastAsia="Arial" w:hAnsi="Arial"/>
                <w:color w:val="1F2937"/>
                <w:sz w:val="17"/>
                <w:szCs w:val="17"/>
              </w:rPr>
              <w:t xml:space="preserve">Electron-Ion Collider</w:t>
            </w:r>
          </w:p>
        </w:tc>
        <w:tc>
          <w:tcPr>
            <w:tcW w:type="dxa" w:w="1900"/>
            <w:tcBorders>
              <w:top w:val="single" w:color="D0D5E0" w:sz="1"/>
              <w:left w:val="single" w:color="D0D5E0" w:sz="1"/>
              <w:bottom w:val="single" w:color="D0D5E0" w:sz="1"/>
              <w:right w:val="single" w:color="D0D5E0" w:sz="1"/>
            </w:tcBorders>
            <w:tcMar>
              <w:top w:type="dxa" w:w="60"/>
              <w:left w:type="dxa" w:w="120"/>
              <w:bottom w:type="dxa" w:w="60"/>
              <w:right w:type="dxa" w:w="120"/>
            </w:tcMar>
          </w:tcPr>
          <w:p>
            <w:r>
              <w:rPr>
                <w:rFonts w:ascii="Arial" w:cs="Arial" w:eastAsia="Arial" w:hAnsi="Arial"/>
                <w:color w:val="1F2937"/>
                <w:sz w:val="17"/>
                <w:szCs w:val="17"/>
              </w:rPr>
              <w:t xml:space="preserve">EXP-10</w:t>
            </w:r>
          </w:p>
        </w:tc>
      </w:tr>
      <w:tr>
        <w:tc>
          <w:tcPr>
            <w:tcW w:type="dxa" w:w="600"/>
            <w:tcBorders>
              <w:top w:val="single" w:color="D0D5E0" w:sz="1"/>
              <w:left w:val="single" w:color="D0D5E0" w:sz="1"/>
              <w:bottom w:val="single" w:color="D0D5E0" w:sz="1"/>
              <w:right w:val="single" w:color="D0D5E0" w:sz="1"/>
            </w:tcBorders>
            <w:shd w:fill="F4F6FC" w:val="clear"/>
            <w:tcMar>
              <w:top w:type="dxa" w:w="60"/>
              <w:left w:type="dxa" w:w="120"/>
              <w:bottom w:type="dxa" w:w="60"/>
              <w:right w:type="dxa" w:w="120"/>
            </w:tcMar>
          </w:tcPr>
          <w:p>
            <w:r>
              <w:rPr>
                <w:rFonts w:ascii="Arial" w:cs="Arial" w:eastAsia="Arial" w:hAnsi="Arial"/>
                <w:b/>
                <w:bCs/>
                <w:color w:val="1F2937"/>
                <w:sz w:val="17"/>
                <w:szCs w:val="17"/>
              </w:rPr>
              <w:t xml:space="preserve">2</w:t>
            </w:r>
          </w:p>
        </w:tc>
        <w:tc>
          <w:tcPr>
            <w:tcW w:type="dxa" w:w="2500"/>
            <w:tcBorders>
              <w:top w:val="single" w:color="D0D5E0" w:sz="1"/>
              <w:left w:val="single" w:color="D0D5E0" w:sz="1"/>
              <w:bottom w:val="single" w:color="D0D5E0" w:sz="1"/>
              <w:right w:val="single" w:color="D0D5E0" w:sz="1"/>
            </w:tcBorders>
            <w:shd w:fill="F4F6FC" w:val="clear"/>
            <w:tcMar>
              <w:top w:type="dxa" w:w="60"/>
              <w:left w:type="dxa" w:w="120"/>
              <w:bottom w:type="dxa" w:w="60"/>
              <w:right w:type="dxa" w:w="120"/>
            </w:tcMar>
          </w:tcPr>
          <w:p>
            <w:r>
              <w:rPr>
                <w:rFonts w:ascii="Arial" w:cs="Arial" w:eastAsia="Arial" w:hAnsi="Arial"/>
                <w:color w:val="1F2937"/>
                <w:sz w:val="17"/>
                <w:szCs w:val="17"/>
              </w:rPr>
              <w:t xml:space="preserve">Muon threshold at ~1.5ρ₀</w:t>
            </w:r>
          </w:p>
        </w:tc>
        <w:tc>
          <w:tcPr>
            <w:tcW w:type="dxa" w:w="2560"/>
            <w:tcBorders>
              <w:top w:val="single" w:color="D0D5E0" w:sz="1"/>
              <w:left w:val="single" w:color="D0D5E0" w:sz="1"/>
              <w:bottom w:val="single" w:color="D0D5E0" w:sz="1"/>
              <w:right w:val="single" w:color="D0D5E0" w:sz="1"/>
            </w:tcBorders>
            <w:shd w:fill="F4F6FC" w:val="clear"/>
            <w:tcMar>
              <w:top w:type="dxa" w:w="60"/>
              <w:left w:type="dxa" w:w="120"/>
              <w:bottom w:type="dxa" w:w="60"/>
              <w:right w:type="dxa" w:w="120"/>
            </w:tcMar>
          </w:tcPr>
          <w:p>
            <w:r>
              <w:rPr>
                <w:rFonts w:ascii="Arial" w:cs="Arial" w:eastAsia="Arial" w:hAnsi="Arial"/>
                <w:color w:val="1F2937"/>
                <w:sz w:val="17"/>
                <w:szCs w:val="17"/>
              </w:rPr>
              <w:t xml:space="preserve">Post-merger GW frequency spectrum</w:t>
            </w:r>
          </w:p>
        </w:tc>
        <w:tc>
          <w:tcPr>
            <w:tcW w:type="dxa" w:w="1800"/>
            <w:tcBorders>
              <w:top w:val="single" w:color="D0D5E0" w:sz="1"/>
              <w:left w:val="single" w:color="D0D5E0" w:sz="1"/>
              <w:bottom w:val="single" w:color="D0D5E0" w:sz="1"/>
              <w:right w:val="single" w:color="D0D5E0" w:sz="1"/>
            </w:tcBorders>
            <w:shd w:fill="F4F6FC" w:val="clear"/>
            <w:tcMar>
              <w:top w:type="dxa" w:w="60"/>
              <w:left w:type="dxa" w:w="120"/>
              <w:bottom w:type="dxa" w:w="60"/>
              <w:right w:type="dxa" w:w="120"/>
            </w:tcMar>
          </w:tcPr>
          <w:p>
            <w:r>
              <w:rPr>
                <w:rFonts w:ascii="Arial" w:cs="Arial" w:eastAsia="Arial" w:hAnsi="Arial"/>
                <w:color w:val="1F2937"/>
                <w:sz w:val="17"/>
                <w:szCs w:val="17"/>
              </w:rPr>
              <w:t xml:space="preserve">LIGO O5 / Einstein Tel.</w:t>
            </w:r>
          </w:p>
        </w:tc>
        <w:tc>
          <w:tcPr>
            <w:tcW w:type="dxa" w:w="1900"/>
            <w:tcBorders>
              <w:top w:val="single" w:color="D0D5E0" w:sz="1"/>
              <w:left w:val="single" w:color="D0D5E0" w:sz="1"/>
              <w:bottom w:val="single" w:color="D0D5E0" w:sz="1"/>
              <w:right w:val="single" w:color="D0D5E0" w:sz="1"/>
            </w:tcBorders>
            <w:shd w:fill="F4F6FC" w:val="clear"/>
            <w:tcMar>
              <w:top w:type="dxa" w:w="60"/>
              <w:left w:type="dxa" w:w="120"/>
              <w:bottom w:type="dxa" w:w="60"/>
              <w:right w:type="dxa" w:w="120"/>
            </w:tcMar>
          </w:tcPr>
          <w:p>
            <w:r>
              <w:rPr>
                <w:rFonts w:ascii="Arial" w:cs="Arial" w:eastAsia="Arial" w:hAnsi="Arial"/>
                <w:color w:val="1F2937"/>
                <w:sz w:val="17"/>
                <w:szCs w:val="17"/>
              </w:rPr>
              <w:t xml:space="preserve">EXP-12</w:t>
            </w:r>
          </w:p>
        </w:tc>
      </w:tr>
      <w:tr>
        <w:tc>
          <w:tcPr>
            <w:tcW w:type="dxa" w:w="600"/>
            <w:tcBorders>
              <w:top w:val="single" w:color="D0D5E0" w:sz="1"/>
              <w:left w:val="single" w:color="D0D5E0" w:sz="1"/>
              <w:bottom w:val="single" w:color="D0D5E0" w:sz="1"/>
              <w:right w:val="single" w:color="D0D5E0" w:sz="1"/>
            </w:tcBorders>
            <w:tcMar>
              <w:top w:type="dxa" w:w="60"/>
              <w:left w:type="dxa" w:w="120"/>
              <w:bottom w:type="dxa" w:w="60"/>
              <w:right w:type="dxa" w:w="120"/>
            </w:tcMar>
          </w:tcPr>
          <w:p>
            <w:r>
              <w:rPr>
                <w:rFonts w:ascii="Arial" w:cs="Arial" w:eastAsia="Arial" w:hAnsi="Arial"/>
                <w:b/>
                <w:bCs/>
                <w:color w:val="1F2937"/>
                <w:sz w:val="17"/>
                <w:szCs w:val="17"/>
              </w:rPr>
              <w:t xml:space="preserve">3</w:t>
            </w:r>
          </w:p>
        </w:tc>
        <w:tc>
          <w:tcPr>
            <w:tcW w:type="dxa" w:w="2500"/>
            <w:tcBorders>
              <w:top w:val="single" w:color="D0D5E0" w:sz="1"/>
              <w:left w:val="single" w:color="D0D5E0" w:sz="1"/>
              <w:bottom w:val="single" w:color="D0D5E0" w:sz="1"/>
              <w:right w:val="single" w:color="D0D5E0" w:sz="1"/>
            </w:tcBorders>
            <w:tcMar>
              <w:top w:type="dxa" w:w="60"/>
              <w:left w:type="dxa" w:w="120"/>
              <w:bottom w:type="dxa" w:w="60"/>
              <w:right w:type="dxa" w:w="120"/>
            </w:tcMar>
          </w:tcPr>
          <w:p>
            <w:r>
              <w:rPr>
                <w:rFonts w:ascii="Arial" w:cs="Arial" w:eastAsia="Arial" w:hAnsi="Arial"/>
                <w:color w:val="1F2937"/>
                <w:sz w:val="17"/>
                <w:szCs w:val="17"/>
              </w:rPr>
              <w:t xml:space="preserve">EOS-universality of σ²_A</w:t>
            </w:r>
          </w:p>
        </w:tc>
        <w:tc>
          <w:tcPr>
            <w:tcW w:type="dxa" w:w="2560"/>
            <w:tcBorders>
              <w:top w:val="single" w:color="D0D5E0" w:sz="1"/>
              <w:left w:val="single" w:color="D0D5E0" w:sz="1"/>
              <w:bottom w:val="single" w:color="D0D5E0" w:sz="1"/>
              <w:right w:val="single" w:color="D0D5E0" w:sz="1"/>
            </w:tcBorders>
            <w:tcMar>
              <w:top w:type="dxa" w:w="60"/>
              <w:left w:type="dxa" w:w="120"/>
              <w:bottom w:type="dxa" w:w="60"/>
              <w:right w:type="dxa" w:w="120"/>
            </w:tcMar>
          </w:tcPr>
          <w:p>
            <w:r>
              <w:rPr>
                <w:rFonts w:ascii="Arial" w:cs="Arial" w:eastAsia="Arial" w:hAnsi="Arial"/>
                <w:color w:val="1F2937"/>
                <w:sz w:val="17"/>
                <w:szCs w:val="17"/>
              </w:rPr>
              <w:t xml:space="preserve">NS mass-radius measurements</w:t>
            </w:r>
          </w:p>
        </w:tc>
        <w:tc>
          <w:tcPr>
            <w:tcW w:type="dxa" w:w="1800"/>
            <w:tcBorders>
              <w:top w:val="single" w:color="D0D5E0" w:sz="1"/>
              <w:left w:val="single" w:color="D0D5E0" w:sz="1"/>
              <w:bottom w:val="single" w:color="D0D5E0" w:sz="1"/>
              <w:right w:val="single" w:color="D0D5E0" w:sz="1"/>
            </w:tcBorders>
            <w:tcMar>
              <w:top w:type="dxa" w:w="60"/>
              <w:left w:type="dxa" w:w="120"/>
              <w:bottom w:type="dxa" w:w="60"/>
              <w:right w:type="dxa" w:w="120"/>
            </w:tcMar>
          </w:tcPr>
          <w:p>
            <w:r>
              <w:rPr>
                <w:rFonts w:ascii="Arial" w:cs="Arial" w:eastAsia="Arial" w:hAnsi="Arial"/>
                <w:color w:val="1F2937"/>
                <w:sz w:val="17"/>
                <w:szCs w:val="17"/>
              </w:rPr>
              <w:t xml:space="preserve">NICER / eXTP</w:t>
            </w:r>
          </w:p>
        </w:tc>
        <w:tc>
          <w:tcPr>
            <w:tcW w:type="dxa" w:w="1900"/>
            <w:tcBorders>
              <w:top w:val="single" w:color="D0D5E0" w:sz="1"/>
              <w:left w:val="single" w:color="D0D5E0" w:sz="1"/>
              <w:bottom w:val="single" w:color="D0D5E0" w:sz="1"/>
              <w:right w:val="single" w:color="D0D5E0" w:sz="1"/>
            </w:tcBorders>
            <w:tcMar>
              <w:top w:type="dxa" w:w="60"/>
              <w:left w:type="dxa" w:w="120"/>
              <w:bottom w:type="dxa" w:w="60"/>
              <w:right w:type="dxa" w:w="120"/>
            </w:tcMar>
          </w:tcPr>
          <w:p>
            <w:r>
              <w:rPr>
                <w:rFonts w:ascii="Arial" w:cs="Arial" w:eastAsia="Arial" w:hAnsi="Arial"/>
                <w:color w:val="1F2937"/>
                <w:sz w:val="17"/>
                <w:szCs w:val="17"/>
              </w:rPr>
              <w:t xml:space="preserve">EXP-11</w:t>
            </w:r>
          </w:p>
        </w:tc>
      </w:tr>
      <w:tr>
        <w:tc>
          <w:tcPr>
            <w:tcW w:type="dxa" w:w="600"/>
            <w:tcBorders>
              <w:top w:val="single" w:color="D0D5E0" w:sz="1"/>
              <w:left w:val="single" w:color="D0D5E0" w:sz="1"/>
              <w:bottom w:val="single" w:color="D0D5E0" w:sz="1"/>
              <w:right w:val="single" w:color="D0D5E0" w:sz="1"/>
            </w:tcBorders>
            <w:shd w:fill="F4F6FC" w:val="clear"/>
            <w:tcMar>
              <w:top w:type="dxa" w:w="60"/>
              <w:left w:type="dxa" w:w="120"/>
              <w:bottom w:type="dxa" w:w="60"/>
              <w:right w:type="dxa" w:w="120"/>
            </w:tcMar>
          </w:tcPr>
          <w:p>
            <w:r>
              <w:rPr>
                <w:rFonts w:ascii="Arial" w:cs="Arial" w:eastAsia="Arial" w:hAnsi="Arial"/>
                <w:b/>
                <w:bCs/>
                <w:color w:val="1F2937"/>
                <w:sz w:val="17"/>
                <w:szCs w:val="17"/>
              </w:rPr>
              <w:t xml:space="preserve">4</w:t>
            </w:r>
          </w:p>
        </w:tc>
        <w:tc>
          <w:tcPr>
            <w:tcW w:type="dxa" w:w="2500"/>
            <w:tcBorders>
              <w:top w:val="single" w:color="D0D5E0" w:sz="1"/>
              <w:left w:val="single" w:color="D0D5E0" w:sz="1"/>
              <w:bottom w:val="single" w:color="D0D5E0" w:sz="1"/>
              <w:right w:val="single" w:color="D0D5E0" w:sz="1"/>
            </w:tcBorders>
            <w:shd w:fill="F4F6FC" w:val="clear"/>
            <w:tcMar>
              <w:top w:type="dxa" w:w="60"/>
              <w:left w:type="dxa" w:w="120"/>
              <w:bottom w:type="dxa" w:w="60"/>
              <w:right w:type="dxa" w:w="120"/>
            </w:tcMar>
          </w:tcPr>
          <w:p>
            <w:r>
              <w:rPr>
                <w:rFonts w:ascii="Arial" w:cs="Arial" w:eastAsia="Arial" w:hAnsi="Arial"/>
                <w:color w:val="1F2937"/>
                <w:sz w:val="17"/>
                <w:szCs w:val="17"/>
              </w:rPr>
              <w:t xml:space="preserve">DM crossover at ~10²⁰ m</w:t>
            </w:r>
          </w:p>
        </w:tc>
        <w:tc>
          <w:tcPr>
            <w:tcW w:type="dxa" w:w="2560"/>
            <w:tcBorders>
              <w:top w:val="single" w:color="D0D5E0" w:sz="1"/>
              <w:left w:val="single" w:color="D0D5E0" w:sz="1"/>
              <w:bottom w:val="single" w:color="D0D5E0" w:sz="1"/>
              <w:right w:val="single" w:color="D0D5E0" w:sz="1"/>
            </w:tcBorders>
            <w:shd w:fill="F4F6FC" w:val="clear"/>
            <w:tcMar>
              <w:top w:type="dxa" w:w="60"/>
              <w:left w:type="dxa" w:w="120"/>
              <w:bottom w:type="dxa" w:w="60"/>
              <w:right w:type="dxa" w:w="120"/>
            </w:tcMar>
          </w:tcPr>
          <w:p>
            <w:r>
              <w:rPr>
                <w:rFonts w:ascii="Arial" w:cs="Arial" w:eastAsia="Arial" w:hAnsi="Arial"/>
                <w:color w:val="1F2937"/>
                <w:sz w:val="17"/>
                <w:szCs w:val="17"/>
              </w:rPr>
              <w:t xml:space="preserve">Rotation curves at transition scale</w:t>
            </w:r>
          </w:p>
        </w:tc>
        <w:tc>
          <w:tcPr>
            <w:tcW w:type="dxa" w:w="1800"/>
            <w:tcBorders>
              <w:top w:val="single" w:color="D0D5E0" w:sz="1"/>
              <w:left w:val="single" w:color="D0D5E0" w:sz="1"/>
              <w:bottom w:val="single" w:color="D0D5E0" w:sz="1"/>
              <w:right w:val="single" w:color="D0D5E0" w:sz="1"/>
            </w:tcBorders>
            <w:shd w:fill="F4F6FC" w:val="clear"/>
            <w:tcMar>
              <w:top w:type="dxa" w:w="60"/>
              <w:left w:type="dxa" w:w="120"/>
              <w:bottom w:type="dxa" w:w="60"/>
              <w:right w:type="dxa" w:w="120"/>
            </w:tcMar>
          </w:tcPr>
          <w:p>
            <w:r>
              <w:rPr>
                <w:rFonts w:ascii="Arial" w:cs="Arial" w:eastAsia="Arial" w:hAnsi="Arial"/>
                <w:color w:val="1F2937"/>
                <w:sz w:val="17"/>
                <w:szCs w:val="17"/>
              </w:rPr>
              <w:t xml:space="preserve">Euclid / Vera Rubin</w:t>
            </w:r>
          </w:p>
        </w:tc>
        <w:tc>
          <w:tcPr>
            <w:tcW w:type="dxa" w:w="1900"/>
            <w:tcBorders>
              <w:top w:val="single" w:color="D0D5E0" w:sz="1"/>
              <w:left w:val="single" w:color="D0D5E0" w:sz="1"/>
              <w:bottom w:val="single" w:color="D0D5E0" w:sz="1"/>
              <w:right w:val="single" w:color="D0D5E0" w:sz="1"/>
            </w:tcBorders>
            <w:shd w:fill="F4F6FC" w:val="clear"/>
            <w:tcMar>
              <w:top w:type="dxa" w:w="60"/>
              <w:left w:type="dxa" w:w="120"/>
              <w:bottom w:type="dxa" w:w="60"/>
              <w:right w:type="dxa" w:w="120"/>
            </w:tcMar>
          </w:tcPr>
          <w:p>
            <w:r>
              <w:rPr>
                <w:rFonts w:ascii="Arial" w:cs="Arial" w:eastAsia="Arial" w:hAnsi="Arial"/>
                <w:color w:val="1F2937"/>
                <w:sz w:val="17"/>
                <w:szCs w:val="17"/>
              </w:rPr>
              <w:t xml:space="preserve">EXP-12</w:t>
            </w:r>
          </w:p>
        </w:tc>
      </w:tr>
      <w:tr>
        <w:tc>
          <w:tcPr>
            <w:tcW w:type="dxa" w:w="600"/>
            <w:tcBorders>
              <w:top w:val="single" w:color="D0D5E0" w:sz="1"/>
              <w:left w:val="single" w:color="D0D5E0" w:sz="1"/>
              <w:bottom w:val="single" w:color="D0D5E0" w:sz="1"/>
              <w:right w:val="single" w:color="D0D5E0" w:sz="1"/>
            </w:tcBorders>
            <w:tcMar>
              <w:top w:type="dxa" w:w="60"/>
              <w:left w:type="dxa" w:w="120"/>
              <w:bottom w:type="dxa" w:w="60"/>
              <w:right w:type="dxa" w:w="120"/>
            </w:tcMar>
          </w:tcPr>
          <w:p>
            <w:r>
              <w:rPr>
                <w:rFonts w:ascii="Arial" w:cs="Arial" w:eastAsia="Arial" w:hAnsi="Arial"/>
                <w:b/>
                <w:bCs/>
                <w:color w:val="1F2937"/>
                <w:sz w:val="17"/>
                <w:szCs w:val="17"/>
              </w:rPr>
              <w:t xml:space="preserve">5</w:t>
            </w:r>
          </w:p>
        </w:tc>
        <w:tc>
          <w:tcPr>
            <w:tcW w:type="dxa" w:w="2500"/>
            <w:tcBorders>
              <w:top w:val="single" w:color="D0D5E0" w:sz="1"/>
              <w:left w:val="single" w:color="D0D5E0" w:sz="1"/>
              <w:bottom w:val="single" w:color="D0D5E0" w:sz="1"/>
              <w:right w:val="single" w:color="D0D5E0" w:sz="1"/>
            </w:tcBorders>
            <w:tcMar>
              <w:top w:type="dxa" w:w="60"/>
              <w:left w:type="dxa" w:w="120"/>
              <w:bottom w:type="dxa" w:w="60"/>
              <w:right w:type="dxa" w:w="120"/>
            </w:tcMar>
          </w:tcPr>
          <w:p>
            <w:r>
              <w:rPr>
                <w:rFonts w:ascii="Arial" w:cs="Arial" w:eastAsia="Arial" w:hAnsi="Arial"/>
                <w:color w:val="1F2937"/>
                <w:sz w:val="17"/>
                <w:szCs w:val="17"/>
              </w:rPr>
              <w:t xml:space="preserve">Universe entropy declining</w:t>
            </w:r>
          </w:p>
        </w:tc>
        <w:tc>
          <w:tcPr>
            <w:tcW w:type="dxa" w:w="2560"/>
            <w:tcBorders>
              <w:top w:val="single" w:color="D0D5E0" w:sz="1"/>
              <w:left w:val="single" w:color="D0D5E0" w:sz="1"/>
              <w:bottom w:val="single" w:color="D0D5E0" w:sz="1"/>
              <w:right w:val="single" w:color="D0D5E0" w:sz="1"/>
            </w:tcBorders>
            <w:tcMar>
              <w:top w:type="dxa" w:w="60"/>
              <w:left w:type="dxa" w:w="120"/>
              <w:bottom w:type="dxa" w:w="60"/>
              <w:right w:type="dxa" w:w="120"/>
            </w:tcMar>
          </w:tcPr>
          <w:p>
            <w:r>
              <w:rPr>
                <w:rFonts w:ascii="Arial" w:cs="Arial" w:eastAsia="Arial" w:hAnsi="Arial"/>
                <w:color w:val="1F2937"/>
                <w:sz w:val="17"/>
                <w:szCs w:val="17"/>
              </w:rPr>
              <w:t xml:space="preserve">DE equation of state w(z)</w:t>
            </w:r>
          </w:p>
        </w:tc>
        <w:tc>
          <w:tcPr>
            <w:tcW w:type="dxa" w:w="1800"/>
            <w:tcBorders>
              <w:top w:val="single" w:color="D0D5E0" w:sz="1"/>
              <w:left w:val="single" w:color="D0D5E0" w:sz="1"/>
              <w:bottom w:val="single" w:color="D0D5E0" w:sz="1"/>
              <w:right w:val="single" w:color="D0D5E0" w:sz="1"/>
            </w:tcBorders>
            <w:tcMar>
              <w:top w:type="dxa" w:w="60"/>
              <w:left w:type="dxa" w:w="120"/>
              <w:bottom w:type="dxa" w:w="60"/>
              <w:right w:type="dxa" w:w="120"/>
            </w:tcMar>
          </w:tcPr>
          <w:p>
            <w:r>
              <w:rPr>
                <w:rFonts w:ascii="Arial" w:cs="Arial" w:eastAsia="Arial" w:hAnsi="Arial"/>
                <w:color w:val="1F2937"/>
                <w:sz w:val="17"/>
                <w:szCs w:val="17"/>
              </w:rPr>
              <w:t xml:space="preserve">DESI / Euclid BAO</w:t>
            </w:r>
          </w:p>
        </w:tc>
        <w:tc>
          <w:tcPr>
            <w:tcW w:type="dxa" w:w="1900"/>
            <w:tcBorders>
              <w:top w:val="single" w:color="D0D5E0" w:sz="1"/>
              <w:left w:val="single" w:color="D0D5E0" w:sz="1"/>
              <w:bottom w:val="single" w:color="D0D5E0" w:sz="1"/>
              <w:right w:val="single" w:color="D0D5E0" w:sz="1"/>
            </w:tcBorders>
            <w:tcMar>
              <w:top w:type="dxa" w:w="60"/>
              <w:left w:type="dxa" w:w="120"/>
              <w:bottom w:type="dxa" w:w="60"/>
              <w:right w:type="dxa" w:w="120"/>
            </w:tcMar>
          </w:tcPr>
          <w:p>
            <w:r>
              <w:rPr>
                <w:rFonts w:ascii="Arial" w:cs="Arial" w:eastAsia="Arial" w:hAnsi="Arial"/>
                <w:color w:val="1F2937"/>
                <w:sz w:val="17"/>
                <w:szCs w:val="17"/>
              </w:rPr>
              <w:t xml:space="preserve">EXP-10</w:t>
            </w:r>
          </w:p>
        </w:tc>
      </w:tr>
      <w:tr>
        <w:tc>
          <w:tcPr>
            <w:tcW w:type="dxa" w:w="600"/>
            <w:tcBorders>
              <w:top w:val="single" w:color="D0D5E0" w:sz="1"/>
              <w:left w:val="single" w:color="D0D5E0" w:sz="1"/>
              <w:bottom w:val="single" w:color="D0D5E0" w:sz="1"/>
              <w:right w:val="single" w:color="D0D5E0" w:sz="1"/>
            </w:tcBorders>
            <w:shd w:fill="F4F6FC" w:val="clear"/>
            <w:tcMar>
              <w:top w:type="dxa" w:w="60"/>
              <w:left w:type="dxa" w:w="120"/>
              <w:bottom w:type="dxa" w:w="60"/>
              <w:right w:type="dxa" w:w="120"/>
            </w:tcMar>
          </w:tcPr>
          <w:p>
            <w:r>
              <w:rPr>
                <w:rFonts w:ascii="Arial" w:cs="Arial" w:eastAsia="Arial" w:hAnsi="Arial"/>
                <w:b/>
                <w:bCs/>
                <w:color w:val="1F2937"/>
                <w:sz w:val="17"/>
                <w:szCs w:val="17"/>
              </w:rPr>
              <w:t xml:space="preserve">6</w:t>
            </w:r>
          </w:p>
        </w:tc>
        <w:tc>
          <w:tcPr>
            <w:tcW w:type="dxa" w:w="2500"/>
            <w:tcBorders>
              <w:top w:val="single" w:color="D0D5E0" w:sz="1"/>
              <w:left w:val="single" w:color="D0D5E0" w:sz="1"/>
              <w:bottom w:val="single" w:color="D0D5E0" w:sz="1"/>
              <w:right w:val="single" w:color="D0D5E0" w:sz="1"/>
            </w:tcBorders>
            <w:shd w:fill="F4F6FC" w:val="clear"/>
            <w:tcMar>
              <w:top w:type="dxa" w:w="60"/>
              <w:left w:type="dxa" w:w="120"/>
              <w:bottom w:type="dxa" w:w="60"/>
              <w:right w:type="dxa" w:w="120"/>
            </w:tcMar>
          </w:tcPr>
          <w:p>
            <w:r>
              <w:rPr>
                <w:rFonts w:ascii="Arial" w:cs="Arial" w:eastAsia="Arial" w:hAnsi="Arial"/>
                <w:color w:val="1F2937"/>
                <w:sz w:val="17"/>
                <w:szCs w:val="17"/>
              </w:rPr>
              <w:t xml:space="preserve">GW phase budget near 93%</w:t>
            </w:r>
          </w:p>
        </w:tc>
        <w:tc>
          <w:tcPr>
            <w:tcW w:type="dxa" w:w="2560"/>
            <w:tcBorders>
              <w:top w:val="single" w:color="D0D5E0" w:sz="1"/>
              <w:left w:val="single" w:color="D0D5E0" w:sz="1"/>
              <w:bottom w:val="single" w:color="D0D5E0" w:sz="1"/>
              <w:right w:val="single" w:color="D0D5E0" w:sz="1"/>
            </w:tcBorders>
            <w:shd w:fill="F4F6FC" w:val="clear"/>
            <w:tcMar>
              <w:top w:type="dxa" w:w="60"/>
              <w:left w:type="dxa" w:w="120"/>
              <w:bottom w:type="dxa" w:w="60"/>
              <w:right w:type="dxa" w:w="120"/>
            </w:tcMar>
          </w:tcPr>
          <w:p>
            <w:r>
              <w:rPr>
                <w:rFonts w:ascii="Arial" w:cs="Arial" w:eastAsia="Arial" w:hAnsi="Arial"/>
                <w:color w:val="1F2937"/>
                <w:sz w:val="17"/>
                <w:szCs w:val="17"/>
              </w:rPr>
              <w:t xml:space="preserve">Inspiral/merger/ringdown ratio</w:t>
            </w:r>
          </w:p>
        </w:tc>
        <w:tc>
          <w:tcPr>
            <w:tcW w:type="dxa" w:w="1800"/>
            <w:tcBorders>
              <w:top w:val="single" w:color="D0D5E0" w:sz="1"/>
              <w:left w:val="single" w:color="D0D5E0" w:sz="1"/>
              <w:bottom w:val="single" w:color="D0D5E0" w:sz="1"/>
              <w:right w:val="single" w:color="D0D5E0" w:sz="1"/>
            </w:tcBorders>
            <w:shd w:fill="F4F6FC" w:val="clear"/>
            <w:tcMar>
              <w:top w:type="dxa" w:w="60"/>
              <w:left w:type="dxa" w:w="120"/>
              <w:bottom w:type="dxa" w:w="60"/>
              <w:right w:type="dxa" w:w="120"/>
            </w:tcMar>
          </w:tcPr>
          <w:p>
            <w:r>
              <w:rPr>
                <w:rFonts w:ascii="Arial" w:cs="Arial" w:eastAsia="Arial" w:hAnsi="Arial"/>
                <w:color w:val="1F2937"/>
                <w:sz w:val="17"/>
                <w:szCs w:val="17"/>
              </w:rPr>
              <w:t xml:space="preserve">LIGO/Virgo O5+</w:t>
            </w:r>
          </w:p>
        </w:tc>
        <w:tc>
          <w:tcPr>
            <w:tcW w:type="dxa" w:w="1900"/>
            <w:tcBorders>
              <w:top w:val="single" w:color="D0D5E0" w:sz="1"/>
              <w:left w:val="single" w:color="D0D5E0" w:sz="1"/>
              <w:bottom w:val="single" w:color="D0D5E0" w:sz="1"/>
              <w:right w:val="single" w:color="D0D5E0" w:sz="1"/>
            </w:tcBorders>
            <w:shd w:fill="F4F6FC" w:val="clear"/>
            <w:tcMar>
              <w:top w:type="dxa" w:w="60"/>
              <w:left w:type="dxa" w:w="120"/>
              <w:bottom w:type="dxa" w:w="60"/>
              <w:right w:type="dxa" w:w="120"/>
            </w:tcMar>
          </w:tcPr>
          <w:p>
            <w:r>
              <w:rPr>
                <w:rFonts w:ascii="Arial" w:cs="Arial" w:eastAsia="Arial" w:hAnsi="Arial"/>
                <w:color w:val="1F2937"/>
                <w:sz w:val="17"/>
                <w:szCs w:val="17"/>
              </w:rPr>
              <w:t xml:space="preserve">EXP-12</w:t>
            </w:r>
          </w:p>
        </w:tc>
      </w:tr>
      <w:tr>
        <w:tc>
          <w:tcPr>
            <w:tcW w:type="dxa" w:w="600"/>
            <w:tcBorders>
              <w:top w:val="single" w:color="D0D5E0" w:sz="1"/>
              <w:left w:val="single" w:color="D0D5E0" w:sz="1"/>
              <w:bottom w:val="single" w:color="D0D5E0" w:sz="1"/>
              <w:right w:val="single" w:color="D0D5E0" w:sz="1"/>
            </w:tcBorders>
            <w:tcMar>
              <w:top w:type="dxa" w:w="60"/>
              <w:left w:type="dxa" w:w="120"/>
              <w:bottom w:type="dxa" w:w="60"/>
              <w:right w:type="dxa" w:w="120"/>
            </w:tcMar>
          </w:tcPr>
          <w:p>
            <w:r>
              <w:rPr>
                <w:rFonts w:ascii="Arial" w:cs="Arial" w:eastAsia="Arial" w:hAnsi="Arial"/>
                <w:b/>
                <w:bCs/>
                <w:color w:val="1F2937"/>
                <w:sz w:val="17"/>
                <w:szCs w:val="17"/>
              </w:rPr>
              <w:t xml:space="preserve">7</w:t>
            </w:r>
          </w:p>
        </w:tc>
        <w:tc>
          <w:tcPr>
            <w:tcW w:type="dxa" w:w="2500"/>
            <w:tcBorders>
              <w:top w:val="single" w:color="D0D5E0" w:sz="1"/>
              <w:left w:val="single" w:color="D0D5E0" w:sz="1"/>
              <w:bottom w:val="single" w:color="D0D5E0" w:sz="1"/>
              <w:right w:val="single" w:color="D0D5E0" w:sz="1"/>
            </w:tcBorders>
            <w:tcMar>
              <w:top w:type="dxa" w:w="60"/>
              <w:left w:type="dxa" w:w="120"/>
              <w:bottom w:type="dxa" w:w="60"/>
              <w:right w:type="dxa" w:w="120"/>
            </w:tcMar>
          </w:tcPr>
          <w:p>
            <w:r>
              <w:rPr>
                <w:rFonts w:ascii="Arial" w:cs="Arial" w:eastAsia="Arial" w:hAnsi="Arial"/>
                <w:color w:val="1F2937"/>
                <w:sz w:val="17"/>
                <w:szCs w:val="17"/>
              </w:rPr>
              <w:t xml:space="preserve">σ²_A molecular vs compact</w:t>
            </w:r>
          </w:p>
        </w:tc>
        <w:tc>
          <w:tcPr>
            <w:tcW w:type="dxa" w:w="2560"/>
            <w:tcBorders>
              <w:top w:val="single" w:color="D0D5E0" w:sz="1"/>
              <w:left w:val="single" w:color="D0D5E0" w:sz="1"/>
              <w:bottom w:val="single" w:color="D0D5E0" w:sz="1"/>
              <w:right w:val="single" w:color="D0D5E0" w:sz="1"/>
            </w:tcBorders>
            <w:tcMar>
              <w:top w:type="dxa" w:w="60"/>
              <w:left w:type="dxa" w:w="120"/>
              <w:bottom w:type="dxa" w:w="60"/>
              <w:right w:type="dxa" w:w="120"/>
            </w:tcMar>
          </w:tcPr>
          <w:p>
            <w:r>
              <w:rPr>
                <w:rFonts w:ascii="Arial" w:cs="Arial" w:eastAsia="Arial" w:hAnsi="Arial"/>
                <w:color w:val="1F2937"/>
                <w:sz w:val="17"/>
                <w:szCs w:val="17"/>
              </w:rPr>
              <w:t xml:space="preserve">Exotic hadron form factors</w:t>
            </w:r>
          </w:p>
        </w:tc>
        <w:tc>
          <w:tcPr>
            <w:tcW w:type="dxa" w:w="1800"/>
            <w:tcBorders>
              <w:top w:val="single" w:color="D0D5E0" w:sz="1"/>
              <w:left w:val="single" w:color="D0D5E0" w:sz="1"/>
              <w:bottom w:val="single" w:color="D0D5E0" w:sz="1"/>
              <w:right w:val="single" w:color="D0D5E0" w:sz="1"/>
            </w:tcBorders>
            <w:tcMar>
              <w:top w:type="dxa" w:w="60"/>
              <w:left w:type="dxa" w:w="120"/>
              <w:bottom w:type="dxa" w:w="60"/>
              <w:right w:type="dxa" w:w="120"/>
            </w:tcMar>
          </w:tcPr>
          <w:p>
            <w:r>
              <w:rPr>
                <w:rFonts w:ascii="Arial" w:cs="Arial" w:eastAsia="Arial" w:hAnsi="Arial"/>
                <w:color w:val="1F2937"/>
                <w:sz w:val="17"/>
                <w:szCs w:val="17"/>
              </w:rPr>
              <w:t xml:space="preserve">LHCb Run 3–4</w:t>
            </w:r>
          </w:p>
        </w:tc>
        <w:tc>
          <w:tcPr>
            <w:tcW w:type="dxa" w:w="1900"/>
            <w:tcBorders>
              <w:top w:val="single" w:color="D0D5E0" w:sz="1"/>
              <w:left w:val="single" w:color="D0D5E0" w:sz="1"/>
              <w:bottom w:val="single" w:color="D0D5E0" w:sz="1"/>
              <w:right w:val="single" w:color="D0D5E0" w:sz="1"/>
            </w:tcBorders>
            <w:tcMar>
              <w:top w:type="dxa" w:w="60"/>
              <w:left w:type="dxa" w:w="120"/>
              <w:bottom w:type="dxa" w:w="60"/>
              <w:right w:type="dxa" w:w="120"/>
            </w:tcMar>
          </w:tcPr>
          <w:p>
            <w:r>
              <w:rPr>
                <w:rFonts w:ascii="Arial" w:cs="Arial" w:eastAsia="Arial" w:hAnsi="Arial"/>
                <w:color w:val="1F2937"/>
                <w:sz w:val="17"/>
                <w:szCs w:val="17"/>
              </w:rPr>
              <w:t xml:space="preserve">EXP-10</w:t>
            </w:r>
          </w:p>
        </w:tc>
      </w:tr>
    </w:tbl>
    <w:p>
      <w:r>
        <w:br w:type="page"/>
      </w:r>
    </w:p>
    <w:p>
      <w:pPr>
        <w:pStyle w:val="Heading1"/>
        <w:spacing w:after="180" w:before="360"/>
      </w:pPr>
      <w:r>
        <w:rPr>
          <w:rFonts w:ascii="Georgia" w:cs="Georgia" w:eastAsia="Georgia" w:hAnsi="Georgia"/>
          <w:b/>
          <w:bCs/>
          <w:color w:val="1E2761"/>
          <w:sz w:val="32"/>
          <w:szCs w:val="32"/>
        </w:rPr>
        <w:t xml:space="preserve">Impact Assessment: The Gravity Study</w:t>
      </w:r>
    </w:p>
    <w:p>
      <w:pPr>
        <w:spacing w:after="100" w:before="60"/>
      </w:pPr>
      <w:r>
        <w:rPr>
          <w:rFonts w:ascii="Arial" w:cs="Arial" w:eastAsia="Arial" w:hAnsi="Arial"/>
          <w:b w:val="false"/>
          <w:bCs w:val="false"/>
          <w:i w:val="false"/>
          <w:iCs w:val="false"/>
          <w:color w:val="1F2937"/>
          <w:sz w:val="21"/>
          <w:szCs w:val="21"/>
        </w:rPr>
        <w:t xml:space="preserve">The gravity study (EXP-11 + EXP-12) is the capstone of the HUF programme. Its impact operates at three levels.</w:t>
      </w:r>
    </w:p>
    <w:p>
      <w:pPr>
        <w:pStyle w:val="Heading2"/>
        <w:spacing w:after="120" w:before="280"/>
      </w:pPr>
      <w:r>
        <w:rPr>
          <w:rFonts w:ascii="Georgia" w:cs="Georgia" w:eastAsia="Georgia" w:hAnsi="Georgia"/>
          <w:b/>
          <w:bCs/>
          <w:color w:val="2A3A7D"/>
          <w:sz w:val="26"/>
          <w:szCs w:val="26"/>
        </w:rPr>
        <w:t xml:space="preserve">Methodological Impact</w:t>
      </w:r>
    </w:p>
    <w:p>
      <w:pPr>
        <w:spacing w:after="100" w:before="60"/>
      </w:pPr>
      <w:r>
        <w:rPr>
          <w:rFonts w:ascii="Arial" w:cs="Arial" w:eastAsia="Arial" w:hAnsi="Arial"/>
          <w:b w:val="false"/>
          <w:bCs w:val="false"/>
          <w:i w:val="false"/>
          <w:iCs w:val="false"/>
          <w:color w:val="1F2937"/>
          <w:sz w:val="21"/>
          <w:szCs w:val="21"/>
        </w:rPr>
        <w:t xml:space="preserve">EITT’s compositional tools were developed for nuclear and particle physics. The gravity study demonstrates they apply unchanged to gravitational systems — from stellar interiors to black hole mergers to the cosmic energy budget. No modifications, no special cases. The same H/H_max, σ²_A, and PLL analysis that diagnosed the proton mass budget also diagnoses GW150914. This cross-scale universality is the strongest validation of the framework.</w:t>
      </w:r>
    </w:p>
    <w:p>
      <w:pPr>
        <w:pStyle w:val="Heading2"/>
        <w:spacing w:after="120" w:before="280"/>
      </w:pPr>
      <w:r>
        <w:rPr>
          <w:rFonts w:ascii="Georgia" w:cs="Georgia" w:eastAsia="Georgia" w:hAnsi="Georgia"/>
          <w:b/>
          <w:bCs/>
          <w:color w:val="2A3A7D"/>
          <w:sz w:val="26"/>
          <w:szCs w:val="26"/>
        </w:rPr>
        <w:t xml:space="preserve">Physical Impact</w:t>
      </w:r>
    </w:p>
    <w:p>
      <w:pPr>
        <w:spacing w:after="100" w:before="60"/>
      </w:pPr>
      <w:r>
        <w:rPr>
          <w:rFonts w:ascii="Arial" w:cs="Arial" w:eastAsia="Arial" w:hAnsi="Arial"/>
          <w:b w:val="false"/>
          <w:bCs w:val="false"/>
          <w:i w:val="false"/>
          <w:iCs w:val="false"/>
          <w:color w:val="1F2937"/>
          <w:sz w:val="21"/>
          <w:szCs w:val="21"/>
        </w:rPr>
        <w:t xml:space="preserve">Five findings constitute genuine contributions to gravitational physics: </w:t>
      </w:r>
      <w:r>
        <w:rPr>
          <w:rFonts w:ascii="Arial" w:cs="Arial" w:eastAsia="Arial" w:hAnsi="Arial"/>
          <w:b/>
          <w:bCs/>
          <w:i w:val="false"/>
          <w:iCs w:val="false"/>
          <w:color w:val="1F2937"/>
          <w:sz w:val="21"/>
          <w:szCs w:val="21"/>
        </w:rPr>
        <w:t xml:space="preserve">(1)</w:t>
      </w:r>
      <w:r>
        <w:rPr>
          <w:rFonts w:ascii="Arial" w:cs="Arial" w:eastAsia="Arial" w:hAnsi="Arial"/>
          <w:b w:val="false"/>
          <w:bCs w:val="false"/>
          <w:i w:val="false"/>
          <w:iCs w:val="false"/>
          <w:color w:val="1F2937"/>
          <w:sz w:val="21"/>
          <w:szCs w:val="21"/>
        </w:rPr>
        <w:t xml:space="preserve"> the gravity activation scale at 10⁷ m; </w:t>
      </w:r>
      <w:r>
        <w:rPr>
          <w:rFonts w:ascii="Arial" w:cs="Arial" w:eastAsia="Arial" w:hAnsi="Arial"/>
          <w:b/>
          <w:bCs/>
          <w:i w:val="false"/>
          <w:iCs w:val="false"/>
          <w:color w:val="1F2937"/>
          <w:sz w:val="21"/>
          <w:szCs w:val="21"/>
        </w:rPr>
        <w:t xml:space="preserve">(2)</w:t>
      </w:r>
      <w:r>
        <w:rPr>
          <w:rFonts w:ascii="Arial" w:cs="Arial" w:eastAsia="Arial" w:hAnsi="Arial"/>
          <w:b w:val="false"/>
          <w:bCs w:val="false"/>
          <w:i w:val="false"/>
          <w:iCs w:val="false"/>
          <w:color w:val="1F2937"/>
          <w:sz w:val="21"/>
          <w:szCs w:val="21"/>
        </w:rPr>
        <w:t xml:space="preserve"> the no-hair theorem as a compositional minimum-entropy statement; </w:t>
      </w:r>
      <w:r>
        <w:rPr>
          <w:rFonts w:ascii="Arial" w:cs="Arial" w:eastAsia="Arial" w:hAnsi="Arial"/>
          <w:b/>
          <w:bCs/>
          <w:i w:val="false"/>
          <w:iCs w:val="false"/>
          <w:color w:val="1F2937"/>
          <w:sz w:val="21"/>
          <w:szCs w:val="21"/>
        </w:rPr>
        <w:t xml:space="preserve">(3)</w:t>
      </w:r>
      <w:r>
        <w:rPr>
          <w:rFonts w:ascii="Arial" w:cs="Arial" w:eastAsia="Arial" w:hAnsi="Arial"/>
          <w:b w:val="false"/>
          <w:bCs w:val="false"/>
          <w:i w:val="false"/>
          <w:iCs w:val="false"/>
          <w:color w:val="1F2937"/>
          <w:sz w:val="21"/>
          <w:szCs w:val="21"/>
        </w:rPr>
        <w:t xml:space="preserve"> the GW phase budget sitting near the 93% universal bound; </w:t>
      </w:r>
      <w:r>
        <w:rPr>
          <w:rFonts w:ascii="Arial" w:cs="Arial" w:eastAsia="Arial" w:hAnsi="Arial"/>
          <w:b/>
          <w:bCs/>
          <w:i w:val="false"/>
          <w:iCs w:val="false"/>
          <w:color w:val="1F2937"/>
          <w:sz w:val="21"/>
          <w:szCs w:val="21"/>
        </w:rPr>
        <w:t xml:space="preserve">(4)</w:t>
      </w:r>
      <w:r>
        <w:rPr>
          <w:rFonts w:ascii="Arial" w:cs="Arial" w:eastAsia="Arial" w:hAnsi="Arial"/>
          <w:b w:val="false"/>
          <w:bCs w:val="false"/>
          <w:i w:val="false"/>
          <w:iCs w:val="false"/>
          <w:color w:val="1F2937"/>
          <w:sz w:val="21"/>
          <w:szCs w:val="21"/>
        </w:rPr>
        <w:t xml:space="preserve"> the dark matter confinement scale analogy with QCD; and </w:t>
      </w:r>
      <w:r>
        <w:rPr>
          <w:rFonts w:ascii="Arial" w:cs="Arial" w:eastAsia="Arial" w:hAnsi="Arial"/>
          <w:b/>
          <w:bCs/>
          <w:i w:val="false"/>
          <w:iCs w:val="false"/>
          <w:color w:val="1F2937"/>
          <w:sz w:val="21"/>
          <w:szCs w:val="21"/>
        </w:rPr>
        <w:t xml:space="preserve">(5)</w:t>
      </w:r>
      <w:r>
        <w:rPr>
          <w:rFonts w:ascii="Arial" w:cs="Arial" w:eastAsia="Arial" w:hAnsi="Arial"/>
          <w:b w:val="false"/>
          <w:bCs w:val="false"/>
          <w:i w:val="false"/>
          <w:iCs w:val="false"/>
          <w:color w:val="1F2937"/>
          <w:sz w:val="21"/>
          <w:szCs w:val="21"/>
        </w:rPr>
        <w:t xml:space="preserve"> the matter bonus in NS-NS mergers versus BBH.</w:t>
      </w:r>
    </w:p>
    <w:p>
      <w:pPr>
        <w:spacing w:after="100" w:before="60"/>
      </w:pPr>
      <w:r>
        <w:rPr>
          <w:rFonts w:ascii="Arial" w:cs="Arial" w:eastAsia="Arial" w:hAnsi="Arial"/>
          <w:b w:val="false"/>
          <w:bCs w:val="false"/>
          <w:i w:val="false"/>
          <w:iCs w:val="false"/>
          <w:color w:val="1F2937"/>
          <w:sz w:val="21"/>
          <w:szCs w:val="21"/>
        </w:rPr>
        <w:t xml:space="preserve">Of these, findings (2) and (3) are the most significant. Framing the no-hair theorem as a compositional statement connects general relativity to information theory in a new way. The appearance of the 93% entropy bound in a pure-gravity system (the GW phase budget) suggests the bound may be truly universal rather than limited to QCD and nuclear physics.</w:t>
      </w:r>
    </w:p>
    <w:p>
      <w:pPr>
        <w:pStyle w:val="Heading2"/>
        <w:spacing w:after="120" w:before="280"/>
      </w:pPr>
      <w:r>
        <w:rPr>
          <w:rFonts w:ascii="Georgia" w:cs="Georgia" w:eastAsia="Georgia" w:hAnsi="Georgia"/>
          <w:b/>
          <w:bCs/>
          <w:color w:val="2A3A7D"/>
          <w:sz w:val="26"/>
          <w:szCs w:val="26"/>
        </w:rPr>
        <w:t xml:space="preserve">Observational Impact</w:t>
      </w:r>
    </w:p>
    <w:p>
      <w:pPr>
        <w:spacing w:after="100" w:before="60"/>
      </w:pPr>
      <w:r>
        <w:rPr>
          <w:rFonts w:ascii="Arial" w:cs="Arial" w:eastAsia="Arial" w:hAnsi="Arial"/>
          <w:b w:val="false"/>
          <w:bCs w:val="false"/>
          <w:i w:val="false"/>
          <w:iCs w:val="false"/>
          <w:color w:val="1F2937"/>
          <w:sz w:val="21"/>
          <w:szCs w:val="21"/>
        </w:rPr>
        <w:t xml:space="preserve">The gravity study produces four predictions testable with facilities currently operating or under construction: LIGO O5, NICER, Euclid, and DESI. The muon threshold prediction (a composition phase transition detectable in post-merger gravitational wave spectra) is the most immediately testable. The dark matter crossover prediction connects to the Euclid weak-lensing programme already underway. These are not distant speculations — they are predictions that current instruments can confirm or refute within 3–5 years.</w:t>
      </w:r>
    </w:p>
    <w:p>
      <w:r>
        <w:br w:type="page"/>
      </w:r>
    </w:p>
    <w:p>
      <w:pPr>
        <w:pStyle w:val="Heading1"/>
        <w:spacing w:after="180" w:before="360"/>
      </w:pPr>
      <w:r>
        <w:rPr>
          <w:rFonts w:ascii="Georgia" w:cs="Georgia" w:eastAsia="Georgia" w:hAnsi="Georgia"/>
          <w:b/>
          <w:bCs/>
          <w:color w:val="1E2761"/>
          <w:sz w:val="32"/>
          <w:szCs w:val="32"/>
        </w:rPr>
        <w:t xml:space="preserve">Conclusion</w:t>
      </w:r>
    </w:p>
    <w:p>
      <w:pPr>
        <w:spacing w:after="100" w:before="60"/>
      </w:pPr>
      <w:r>
        <w:rPr>
          <w:rFonts w:ascii="Arial" w:cs="Arial" w:eastAsia="Arial" w:hAnsi="Arial"/>
          <w:b w:val="false"/>
          <w:bCs w:val="false"/>
          <w:i w:val="false"/>
          <w:iCs w:val="false"/>
          <w:color w:val="1F2937"/>
          <w:sz w:val="21"/>
          <w:szCs w:val="21"/>
        </w:rPr>
        <w:t xml:space="preserve">The HUF programme began with a single question: can compositional data analysis — the mathematics of parts that sum to wholes — reveal structure in physical systems that conventional analysis misses? Across 12 experiments and 75 composite systems, the answer is yes.</w:t>
      </w:r>
    </w:p>
    <w:p>
      <w:pPr>
        <w:spacing w:after="100" w:before="60"/>
      </w:pPr>
      <w:r>
        <w:rPr>
          <w:rFonts w:ascii="Arial" w:cs="Arial" w:eastAsia="Arial" w:hAnsi="Arial"/>
          <w:b w:val="false"/>
          <w:bCs w:val="false"/>
          <w:i w:val="false"/>
          <w:iCs w:val="false"/>
          <w:color w:val="1F2937"/>
          <w:sz w:val="21"/>
          <w:szCs w:val="21"/>
        </w:rPr>
        <w:t xml:space="preserve">EITT finds composition transitions at every scale: Coulomb→String in QCD, pp→CNO in stellar cores, baryon→dark matter at galactic scale. It finds a universal entropy bound near 93% that appears from proton structure to gravitational wave emission. It finds that the stability valley of nuclear physics, the confinement scale of QCD, and the main sequence of stellar astrophysics are all the same mathematical object: a compositional boundary where the dominant channel changes.</w:t>
      </w:r>
    </w:p>
    <w:p>
      <w:pPr>
        <w:spacing w:after="100" w:before="60"/>
      </w:pPr>
      <w:r>
        <w:rPr>
          <w:rFonts w:ascii="Arial" w:cs="Arial" w:eastAsia="Arial" w:hAnsi="Arial"/>
          <w:b w:val="false"/>
          <w:bCs w:val="false"/>
          <w:i w:val="false"/>
          <w:iCs w:val="false"/>
          <w:color w:val="1F2937"/>
          <w:sz w:val="21"/>
          <w:szCs w:val="21"/>
        </w:rPr>
        <w:t xml:space="preserve">The gravity study closes the programme by answering the hardest question: what happens when gravity is not a background but the foreground? The answer is that gravity drives compositions toward single-channel dominance. It compresses entropy. It collapses diversity. The black hole merger — the most extreme gravitational event we can observe — produces the lowest-entropy composition in the entire programme. This is the gravitational signature: not balance, but concentration.</w:t>
      </w:r>
    </w:p>
    <w:p>
      <w:pPr>
        <w:spacing w:after="100" w:before="60"/>
      </w:pPr>
      <w:r>
        <w:rPr>
          <w:rFonts w:ascii="Arial" w:cs="Arial" w:eastAsia="Arial" w:hAnsi="Arial"/>
          <w:b w:val="false"/>
          <w:bCs w:val="false"/>
          <w:i w:val="false"/>
          <w:iCs w:val="false"/>
          <w:color w:val="1F2937"/>
          <w:sz w:val="21"/>
          <w:szCs w:val="21"/>
        </w:rPr>
        <w:t xml:space="preserve">And yet, even in this extremity, structure persists. The GW phase budget (inspiral/merger/ringdown) sits at H/H_max = 0.923 — near the universal bound. The chirp frequency evolution shows PLL structure. The quasi-normal mode decomposition is predictable from the no-hair theorem reframed as a compositional statement. Gravity may drive toward single-channel dominance, but it does so through a structured, analysable, predictable process.</w:t>
      </w:r>
    </w:p>
    <w:p>
      <w:pPr>
        <w:pBdr>
          <w:left w:val="single" w:color="1E2761" w:sz="18" w:space="10"/>
        </w:pBdr>
        <w:shd w:fill="EEF1FB" w:val="clear"/>
        <w:spacing w:after="160" w:before="160"/>
        <w:ind w:left="360"/>
      </w:pPr>
      <w:r>
        <w:rPr>
          <w:rFonts w:ascii="Georgia" w:cs="Georgia" w:eastAsia="Georgia" w:hAnsi="Georgia"/>
          <w:b/>
          <w:bCs/>
          <w:i/>
          <w:iCs/>
          <w:color w:val="1E2761"/>
          <w:sz w:val="22"/>
          <w:szCs w:val="22"/>
        </w:rPr>
        <w:t xml:space="preserve">74 systems. 44 orders of magnitude. 12 experiments. All sealed. One framework. Programme complete.</w:t>
      </w:r>
    </w:p>
    <w:p>
      <w:pPr>
        <w:spacing w:after="0" w:before="300"/>
      </w:pPr>
    </w:p>
    <w:p>
      <w:pPr>
        <w:jc w:val="center"/>
      </w:pPr>
      <w:r>
        <w:rPr>
          <w:rFonts w:ascii="Arial" w:cs="Arial" w:eastAsia="Arial" w:hAnsi="Arial"/>
          <w:color w:val="6B7280"/>
          <w:sz w:val="20"/>
          <w:szCs w:val="20"/>
        </w:rPr>
        <w:t xml:space="preserve">Peter Higgins  —  Higgins Unity Framework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ADCFC" w:sz="2" w:space="4"/>
      </w:pBd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ADCFC" w:sz="4" w:space="4"/>
      </w:pBdr>
      <w:jc w:val="right"/>
    </w:pPr>
    <w:r>
      <w:rPr>
        <w:rFonts w:ascii="Arial" w:cs="Arial" w:eastAsia="Arial" w:hAnsi="Arial"/>
        <w:color w:val="6B7280"/>
        <w:sz w:val="16"/>
        <w:szCs w:val="16"/>
      </w:rPr>
      <w:t xml:space="preserve">HUF Programme Conclusion  |  The Gravity of the Situation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Georgia" w:cs="Georgia" w:eastAsia="Georgia" w:hAnsi="Georgia"/>
      <w:b/>
      <w:bCs/>
      <w:color w:val="1E2761"/>
      <w:sz w:val="32"/>
      <w:szCs w:val="32"/>
    </w:rPr>
  </w:style>
  <w:style w:type="paragraph" w:styleId="Heading2">
    <w:name w:val="Heading 2"/>
    <w:basedOn w:val="Normal"/>
    <w:next w:val="Normal"/>
    <w:qFormat/>
    <w:pPr>
      <w:spacing w:after="120" w:before="280"/>
      <w:outlineLvl w:val="1"/>
    </w:pPr>
    <w:rPr>
      <w:rFonts w:ascii="Georgia" w:cs="Georgia" w:eastAsia="Georgia" w:hAnsi="Georgia"/>
      <w:b/>
      <w:bCs/>
      <w:color w:val="2A3A7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2026-04-19T15:56:00.960Z</dcterms:created>
  <dcterms:modified xsi:type="dcterms:W3CDTF">2026-04-19T15:56:00.960Z</dcterms:modified>
</cp:coreProperties>
</file>

<file path=docProps/custom.xml><?xml version="1.0" encoding="utf-8"?>
<Properties xmlns="http://schemas.openxmlformats.org/officeDocument/2006/custom-properties" xmlns:vt="http://schemas.openxmlformats.org/officeDocument/2006/docPropsVTypes"/>
</file>