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p>
    <w:p>
      <w:pPr>
        <w:spacing w:after="240"/>
      </w:pPr>
    </w:p>
    <w:p>
      <w:pPr>
        <w:spacing w:after="240"/>
      </w:pPr>
    </w:p>
    <w:p>
      <w:pPr>
        <w:spacing w:after="600"/>
        <w:jc w:val="center"/>
      </w:pPr>
      <w:r>
        <w:rPr>
          <w:rFonts w:ascii="Georgia" w:cs="Georgia" w:eastAsia="Georgia" w:hAnsi="Georgia"/>
          <w:b/>
          <w:bCs/>
          <w:color w:val="B85042"/>
          <w:sz w:val="72"/>
          <w:szCs w:val="72"/>
        </w:rPr>
        <w:t xml:space="preserve">Where We Stand</w:t>
      </w:r>
    </w:p>
    <w:p>
      <w:pPr>
        <w:pBdr>
          <w:bottom w:val="single" w:color="B85042" w:sz="4" w:space="12"/>
        </w:pBdr>
        <w:spacing w:after="400"/>
        <w:jc w:val="center"/>
      </w:pPr>
    </w:p>
    <w:p>
      <w:pPr>
        <w:spacing w:after="120"/>
        <w:jc w:val="center"/>
      </w:pPr>
      <w:r>
        <w:rPr>
          <w:rFonts w:ascii="Georgia" w:cs="Georgia" w:eastAsia="Georgia" w:hAnsi="Georgia"/>
          <w:color w:val="1E2761"/>
          <w:sz w:val="30"/>
          <w:szCs w:val="30"/>
        </w:rPr>
        <w:t xml:space="preserve">A Reflection on the Higgins Unity Framework</w:t>
      </w:r>
    </w:p>
    <w:p>
      <w:pPr>
        <w:spacing w:after="80"/>
        <w:jc w:val="center"/>
      </w:pPr>
      <w:r>
        <w:rPr>
          <w:rFonts w:ascii="Georgia" w:cs="Georgia" w:eastAsia="Georgia" w:hAnsi="Georgia"/>
          <w:i/>
          <w:iCs/>
          <w:color w:val="36454F"/>
          <w:sz w:val="24"/>
          <w:szCs w:val="24"/>
        </w:rPr>
        <w:t xml:space="preserve">From Loudspeaker Diffraction to Information Mechanics</w:t>
      </w:r>
    </w:p>
    <w:p>
      <w:pPr>
        <w:spacing w:after="80"/>
        <w:jc w:val="center"/>
      </w:pPr>
      <w:r>
        <w:rPr>
          <w:rFonts w:ascii="Arial" w:cs="Arial" w:eastAsia="Arial" w:hAnsi="Arial"/>
          <w:color w:val="4A6FA5"/>
          <w:sz w:val="22"/>
          <w:szCs w:val="22"/>
        </w:rPr>
        <w:t xml:space="preserve">December 2024 — April 2026</w:t>
      </w:r>
    </w:p>
    <w:p>
      <w:pPr>
        <w:spacing w:after="240"/>
      </w:pPr>
    </w:p>
    <w:p>
      <w:pPr>
        <w:spacing w:after="240"/>
      </w:pPr>
    </w:p>
    <w:p>
      <w:pPr>
        <w:spacing w:after="240"/>
      </w:pPr>
    </w:p>
    <w:p>
      <w:pPr>
        <w:spacing w:after="240"/>
      </w:pPr>
    </w:p>
    <w:p>
      <w:pPr>
        <w:spacing w:after="240"/>
      </w:pPr>
    </w:p>
    <w:p>
      <w:pPr>
        <w:spacing w:after="60"/>
        <w:jc w:val="center"/>
      </w:pPr>
      <w:r>
        <w:rPr>
          <w:rFonts w:ascii="Georgia" w:cs="Georgia" w:eastAsia="Georgia" w:hAnsi="Georgia"/>
          <w:b/>
          <w:bCs/>
          <w:color w:val="1E2761"/>
          <w:sz w:val="28"/>
          <w:szCs w:val="28"/>
        </w:rPr>
        <w:t xml:space="preserve">Peter Higgins</w:t>
      </w:r>
    </w:p>
    <w:p>
      <w:pPr>
        <w:spacing w:after="40"/>
        <w:jc w:val="center"/>
      </w:pPr>
      <w:r>
        <w:rPr>
          <w:rFonts w:ascii="Arial" w:cs="Arial" w:eastAsia="Arial" w:hAnsi="Arial"/>
          <w:color w:val="36454F"/>
          <w:sz w:val="20"/>
          <w:szCs w:val="20"/>
        </w:rPr>
        <w:t xml:space="preserve">Rogue Wave Audio · Markham, Ontario</w:t>
      </w:r>
    </w:p>
    <w:p>
      <w:pPr>
        <w:jc w:val="center"/>
      </w:pPr>
      <w:r>
        <w:rPr>
          <w:rFonts w:ascii="Arial" w:cs="Arial" w:eastAsia="Arial" w:hAnsi="Arial"/>
          <w:color w:val="4A6FA5"/>
          <w:sz w:val="18"/>
          <w:szCs w:val="18"/>
        </w:rPr>
        <w:t xml:space="preserve">with computational support by Claude (Anthropic)</w:t>
      </w:r>
    </w:p>
    <w:p>
      <w:pPr>
        <w:sectPr>
          <w:headerReference w:type="default" r:id="rId7"/>
          <w:footerReference w:type="default" r:id="rId8"/>
          <w:pgSz w:w="12240" w:h="15840" w:orient="portrait"/>
          <w:pgMar w:top="1800" w:right="1440" w:bottom="1440" w:left="1440" w:header="708" w:footer="708" w:gutter="0"/>
          <w:pgNumType/>
          <w:docGrid w:linePitch="360"/>
        </w:sectPr>
      </w:pPr>
    </w:p>
    <w:p>
      <w:pPr>
        <w:pStyle w:val="Heading1"/>
      </w:pPr>
      <w:r>
        <w:t xml:space="preserve">The Origin</w:t>
      </w:r>
    </w:p>
    <w:p>
      <w:pPr>
        <w:spacing w:after="160" w:line="320"/>
      </w:pPr>
      <w:r>
        <w:rPr>
          <w:rFonts w:ascii="Georgia" w:cs="Georgia" w:eastAsia="Georgia" w:hAnsi="Georgia"/>
          <w:color w:val="36454F"/>
          <w:sz w:val="24"/>
          <w:szCs w:val="24"/>
        </w:rPr>
        <w:t xml:space="preserve">It started with a loudspeaker. In December 2024, at the Binaural Test Lab in Markham, Ontario, Peter Higgins was working on a diffraction correction for a loudspeaker baffle step — the DADC-DADI-ADAC chain that would become the engineering DNA of everything that followed. The correction required decomposing an acoustic measurement into parts that summed to a whole: how much energy was transmitted, how much reflected, how much diffracted, how much absorbed. The parts had to add up. They always had to add up.</w:t>
      </w:r>
    </w:p>
    <w:p>
      <w:pPr>
        <w:spacing w:after="160" w:line="320"/>
      </w:pPr>
      <w:r>
        <w:rPr>
          <w:rFonts w:ascii="Georgia" w:cs="Georgia" w:eastAsia="Georgia" w:hAnsi="Georgia"/>
          <w:color w:val="36454F"/>
          <w:sz w:val="24"/>
          <w:szCs w:val="24"/>
        </w:rPr>
        <w:t xml:space="preserve">That constraint — closure, in the language of mathematics — is the seed from which the entire Higgins Unity Framework grew. When parts must sum to a constant, they live on a simplex, and the simplex has its own geometry. Aitchison formalised this in 1982 as Compositional Data Analysis. Higgins rediscovered it empirically in acoustics, then recognised it everywhere: in energy budgets, in nuclear binding, in gold prices, in the quark structure of matter, in the gravitational waves from colliding black holes.</w:t>
      </w:r>
    </w:p>
    <w:p>
      <w:pPr>
        <w:pStyle w:val="Heading1"/>
      </w:pPr>
      <w:r>
        <w:t xml:space="preserve">The Instrument</w:t>
      </w:r>
    </w:p>
    <w:p>
      <w:pPr>
        <w:spacing w:after="160" w:line="320"/>
      </w:pPr>
      <w:r>
        <w:rPr>
          <w:rFonts w:ascii="Georgia" w:cs="Georgia" w:eastAsia="Georgia" w:hAnsi="Georgia"/>
          <w:color w:val="36454F"/>
          <w:sz w:val="24"/>
          <w:szCs w:val="24"/>
        </w:rPr>
        <w:t xml:space="preserve">What emerged over the following months was not a theory but an instrument — a way of looking at physical systems that reveals structure otherwise invisible. The 12-step Higgins Decomposition pipeline takes any system with identifiable parts that sum to a whole, maps it onto the simplex, transforms it into Aitchison space, tracks its entropy, fits its variance trajectory, tests for transcendental cancellation, and projects the result into ternary, complex, and helical coordinates.</w:t>
      </w:r>
    </w:p>
    <w:p>
      <w:pPr>
        <w:spacing w:after="160" w:line="320"/>
      </w:pPr>
      <w:r>
        <w:rPr>
          <w:rFonts w:ascii="Georgia" w:cs="Georgia" w:eastAsia="Georgia" w:hAnsi="Georgia"/>
          <w:color w:val="36454F"/>
          <w:sz w:val="24"/>
          <w:szCs w:val="24"/>
        </w:rPr>
        <w:t xml:space="preserve">The instrument was tested relentlessly. Twenty-one experiments, spanning 44 orders of magnitude from subatomic quarks to cosmological gravitational waves. Gold prices (338 years). Uranium binding energy (3,554 nuclides). Geochemistry (40,666 rocks). X-ray crystallography (1,013 crystal structures). Nuclear fusion (17 reactor designs). Acoustic filters. Stress-strain in steel. Charged droplets in electromagnetic fields. Sedimentation under gravity.</w:t>
      </w:r>
    </w:p>
    <w:p>
      <w:pPr>
        <w:spacing w:after="160" w:line="320"/>
      </w:pPr>
      <w:r>
        <w:rPr>
          <w:rFonts w:ascii="Georgia" w:cs="Georgia" w:eastAsia="Georgia" w:hAnsi="Georgia"/>
          <w:color w:val="36454F"/>
          <w:sz w:val="24"/>
          <w:szCs w:val="24"/>
        </w:rPr>
        <w:t xml:space="preserve">At every scale, in every domain, the instrument produced interpretable, reproducible results. Not because the physics was the same — it manifestly was not — but because the compositional geometry was the same. The simplex is the same everywhere.</w:t>
      </w:r>
    </w:p>
    <w:p>
      <w:pPr>
        <w:pStyle w:val="Heading1"/>
      </w:pPr>
      <w:r>
        <w:t xml:space="preserve">The Surprises</w:t>
      </w:r>
    </w:p>
    <w:p>
      <w:pPr>
        <w:spacing w:after="160" w:line="320"/>
      </w:pPr>
      <w:r>
        <w:rPr>
          <w:rFonts w:ascii="Georgia" w:cs="Georgia" w:eastAsia="Georgia" w:hAnsi="Georgia"/>
          <w:color w:val="36454F"/>
          <w:sz w:val="24"/>
          <w:szCs w:val="24"/>
        </w:rPr>
        <w:t xml:space="preserve">Several results were unexpected.</w:t>
      </w:r>
    </w:p>
    <w:p>
      <w:pPr>
        <w:spacing w:after="160" w:line="320"/>
      </w:pPr>
      <w:r>
        <w:rPr>
          <w:rFonts w:ascii="Georgia" w:cs="Georgia" w:eastAsia="Georgia" w:hAnsi="Georgia"/>
          <w:b/>
          <w:bCs/>
          <w:color w:val="36454F"/>
          <w:sz w:val="24"/>
          <w:szCs w:val="24"/>
        </w:rPr>
        <w:t xml:space="preserve">The floor would not go away. </w:t>
      </w:r>
      <w:r>
        <w:rPr>
          <w:rFonts w:ascii="Georgia" w:cs="Georgia" w:eastAsia="Georgia" w:hAnsi="Georgia"/>
          <w:color w:val="36454F"/>
          <w:sz w:val="24"/>
          <w:szCs w:val="24"/>
        </w:rPr>
        <w:t xml:space="preserve">When the EITT chaos detection system was first built (EXP-16), it revealed deviations — moments where the compositional trajectory stuttered, spiked, or reversed. The natural assumption was that these were artifacts of the numerical integration or the specific system parameters. EXP-17 set out to prove this by varying everything: the integrator (RK4, RK2, Euler), the timestep (over an order of magnitude), the initial conditions (10 random draws), and the number of carriers (2 through 8). The deviations persisted. The coefficient of variation across all these perturbations was less than 1.2%. The floor is real, and it is topological — a geometric necessity of the simplex boundary, not a computational limitation.</w:t>
      </w:r>
    </w:p>
    <w:p>
      <w:pPr>
        <w:spacing w:after="160" w:line="320"/>
      </w:pPr>
      <w:r>
        <w:rPr>
          <w:rFonts w:ascii="Georgia" w:cs="Georgia" w:eastAsia="Georgia" w:hAnsi="Georgia"/>
          <w:b/>
          <w:bCs/>
          <w:color w:val="36454F"/>
          <w:sz w:val="24"/>
          <w:szCs w:val="24"/>
        </w:rPr>
        <w:t xml:space="preserve">Forces are turbulent; matter is not. </w:t>
      </w:r>
      <w:r>
        <w:rPr>
          <w:rFonts w:ascii="Georgia" w:cs="Georgia" w:eastAsia="Georgia" w:hAnsi="Georgia"/>
          <w:color w:val="36454F"/>
          <w:sz w:val="24"/>
          <w:szCs w:val="24"/>
        </w:rPr>
        <w:t xml:space="preserve">EXP-18 applied the instrument to both sides of a single physical process — stress-strain in mild steel. The force simplex produced 41 deviations; the matter simplex produced 5. The ratio was 8:1. In the electromagnetic system (EXP-18b), the ratio was 296:0. This asymmetry was not predicted, but in hindsight it makes physical sense: forces redistribute instantaneously at every timestep, while material properties accumulate history irreversibly. The force simplex is a real-time seismograph; the matter simplex is a geological record.</w:t>
      </w:r>
    </w:p>
    <w:p>
      <w:pPr>
        <w:spacing w:after="160" w:line="320"/>
      </w:pPr>
      <w:r>
        <w:rPr>
          <w:rFonts w:ascii="Georgia" w:cs="Georgia" w:eastAsia="Georgia" w:hAnsi="Georgia"/>
          <w:b/>
          <w:bCs/>
          <w:color w:val="36454F"/>
          <w:sz w:val="24"/>
          <w:szCs w:val="24"/>
        </w:rPr>
        <w:t xml:space="preserve">The graph is complete. </w:t>
      </w:r>
      <w:r>
        <w:rPr>
          <w:rFonts w:ascii="Georgia" w:cs="Georgia" w:eastAsia="Georgia" w:hAnsi="Georgia"/>
          <w:color w:val="36454F"/>
          <w:sz w:val="24"/>
          <w:szCs w:val="24"/>
        </w:rPr>
        <w:t xml:space="preserve">The original plan was a chain: Energy → Matter → Force → Gravity. Peter Higgins noticed that the LIGO experiment (EXP-12B) already contained a Gravity ↔ Energy bridge, making it a ring. Then he asked: are there more? Testing all six combinatorial pairs revealed that every domain is compositionally linked to every other. Not a chain, not a ring, but a K₄ complete graph. The framework is not a sequence of analogies but a single structure.</w:t>
      </w:r>
    </w:p>
    <w:p>
      <w:r>
        <w:br w:type="page"/>
      </w:r>
    </w:p>
    <w:p>
      <w:pPr>
        <w:pStyle w:val="Heading1"/>
      </w:pPr>
      <w:r>
        <w:t xml:space="preserve">The Simplex Scope</w:t>
      </w:r>
    </w:p>
    <w:p>
      <w:pPr>
        <w:spacing w:after="160" w:line="320"/>
      </w:pPr>
      <w:r>
        <w:rPr>
          <w:rFonts w:ascii="Georgia" w:cs="Georgia" w:eastAsia="Georgia" w:hAnsi="Georgia"/>
          <w:color w:val="36454F"/>
          <w:sz w:val="24"/>
          <w:szCs w:val="24"/>
        </w:rPr>
        <w:t xml:space="preserve">Of all the deliverables produced across 21 experiments, one stands apart: the Higgins Simplex Scope. It is an interactive HTML tool that displays all 12 pipeline steps simultaneously in real time. The user adjusts spring constant, mass, damping — and watches the compositional structure evolve across six panels: the physical spring-mass system, the ternary force diagram coloured by angular velocity, the EITT entropy with chaos detection markers, the complex plane trajectory, the 3D helix spiralling through time, and the composition time series.</w:t>
      </w:r>
    </w:p>
    <w:p>
      <w:pPr>
        <w:spacing w:after="160" w:line="320"/>
      </w:pPr>
      <w:r>
        <w:rPr>
          <w:rFonts w:ascii="Georgia" w:cs="Georgia" w:eastAsia="Georgia" w:hAnsi="Georgia"/>
          <w:color w:val="36454F"/>
          <w:sz w:val="24"/>
          <w:szCs w:val="24"/>
        </w:rPr>
        <w:t xml:space="preserve">When slowed down, the cost of transitions becomes apparent. You can see the moment a force carrier approaches zero — the composition lunging toward the simplex boundary, the angular velocity spiking, the entropy dipping, the helix kinking. The Compositional Uncertainty Principle, which took 35 simulations to establish numerically, becomes viscerally obvious in a few seconds of animation. This is what compositional structure looks like when you make it visible.</w:t>
      </w:r>
    </w:p>
    <w:p>
      <w:pPr>
        <w:spacing w:after="160" w:line="320"/>
      </w:pPr>
      <w:r>
        <w:rPr>
          <w:rFonts w:ascii="Georgia" w:cs="Georgia" w:eastAsia="Georgia" w:hAnsi="Georgia"/>
          <w:color w:val="36454F"/>
          <w:sz w:val="24"/>
          <w:szCs w:val="24"/>
        </w:rPr>
        <w:t xml:space="preserve">The Simplex Scope will be the centerpiece of the CoDaWork 2026 presentation in Coimbra. Its purpose is not just to demonstrate the Higgins Decomposition but to inspire others in the CoDa community to develop their own real-time compositional visualisations. The information is there, in every system with parts that sum to a whole. The Simplex Scope shows how to see it.</w:t>
      </w:r>
    </w:p>
    <w:p>
      <w:pPr>
        <w:pStyle w:val="Heading1"/>
      </w:pPr>
      <w:r>
        <w:t xml:space="preserve">By the Numbers</w:t>
      </w:r>
    </w:p>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3900"/>
      </w:tblGrid>
      <w:tr>
        <w:tc>
          <w:tcPr>
            <w:tcW w:type="dxa" w:w="5460"/>
            <w:tcBorders>
              <w:top w:val="single" w:color="CCCCCC" w:sz="1"/>
              <w:left w:val="single" w:color="CCCCCC" w:sz="1"/>
              <w:bottom w:val="single" w:color="CCCCCC" w:sz="1"/>
              <w:right w:val="single" w:color="CCCCCC" w:sz="1"/>
            </w:tcBorders>
            <w:shd w:fill="1E2761" w:val="clear"/>
            <w:tcMar>
              <w:top w:type="dxa" w:w="100"/>
              <w:left w:type="dxa" w:w="140"/>
              <w:bottom w:type="dxa" w:w="100"/>
              <w:right w:type="dxa" w:w="140"/>
            </w:tcMar>
            <w:vAlign w:val="center"/>
          </w:tcPr>
          <w:p>
            <w:r>
              <w:rPr>
                <w:rFonts w:ascii="Arial" w:cs="Arial" w:eastAsia="Arial" w:hAnsi="Arial"/>
                <w:b/>
                <w:bCs/>
                <w:color w:val="FFFFFF"/>
                <w:sz w:val="20"/>
                <w:szCs w:val="20"/>
              </w:rPr>
              <w:t xml:space="preserve">Measure</w:t>
            </w:r>
          </w:p>
        </w:tc>
        <w:tc>
          <w:tcPr>
            <w:tcW w:type="dxa" w:w="3900"/>
            <w:tcBorders>
              <w:top w:val="single" w:color="CCCCCC" w:sz="1"/>
              <w:left w:val="single" w:color="CCCCCC" w:sz="1"/>
              <w:bottom w:val="single" w:color="CCCCCC" w:sz="1"/>
              <w:right w:val="single" w:color="CCCCCC" w:sz="1"/>
            </w:tcBorders>
            <w:shd w:fill="1E2761" w:val="clear"/>
            <w:tcMar>
              <w:top w:type="dxa" w:w="100"/>
              <w:left w:type="dxa" w:w="140"/>
              <w:bottom w:type="dxa" w:w="100"/>
              <w:right w:type="dxa" w:w="140"/>
            </w:tcMar>
            <w:vAlign w:val="center"/>
          </w:tcPr>
          <w:p>
            <w:r>
              <w:rPr>
                <w:rFonts w:ascii="Arial" w:cs="Arial" w:eastAsia="Arial" w:hAnsi="Arial"/>
                <w:b/>
                <w:bCs/>
                <w:color w:val="FFFFFF"/>
                <w:sz w:val="20"/>
                <w:szCs w:val="20"/>
              </w:rPr>
              <w:t xml:space="preserve">Value</w:t>
            </w:r>
          </w:p>
        </w:tc>
      </w:tr>
      <w:tr>
        <w:tc>
          <w:tcPr>
            <w:tcW w:type="dxa" w:w="546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pPr>
              <w:jc w:val="left"/>
            </w:pPr>
            <w:r>
              <w:rPr>
                <w:rFonts w:ascii="Arial" w:cs="Arial" w:eastAsia="Arial" w:hAnsi="Arial"/>
                <w:b w:val="false"/>
                <w:bCs w:val="false"/>
                <w:color w:val="36454F"/>
                <w:sz w:val="20"/>
                <w:szCs w:val="20"/>
              </w:rPr>
              <w:t xml:space="preserve">Experiments conducted</w:t>
            </w:r>
          </w:p>
        </w:tc>
        <w:tc>
          <w:tcPr>
            <w:tcW w:type="dxa" w:w="39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pPr>
              <w:jc w:val="left"/>
            </w:pPr>
            <w:r>
              <w:rPr>
                <w:rFonts w:ascii="Arial" w:cs="Arial" w:eastAsia="Arial" w:hAnsi="Arial"/>
                <w:b/>
                <w:bCs/>
                <w:color w:val="36454F"/>
                <w:sz w:val="20"/>
                <w:szCs w:val="20"/>
              </w:rPr>
              <w:t xml:space="preserve">21 (EXP-01 through EXP-18b)</w:t>
            </w:r>
          </w:p>
        </w:tc>
      </w:tr>
      <w:tr>
        <w:tc>
          <w:tcPr>
            <w:tcW w:type="dxa" w:w="54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36454F"/>
                <w:sz w:val="20"/>
                <w:szCs w:val="20"/>
              </w:rPr>
              <w:t xml:space="preserve">Physical domains</w:t>
            </w:r>
          </w:p>
        </w:tc>
        <w:tc>
          <w:tcPr>
            <w:tcW w:type="dxa" w:w="3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36454F"/>
                <w:sz w:val="20"/>
                <w:szCs w:val="20"/>
              </w:rPr>
              <w:t xml:space="preserve">4 (Energy, Matter, Force, Gravity)</w:t>
            </w:r>
          </w:p>
        </w:tc>
      </w:tr>
      <w:tr>
        <w:tc>
          <w:tcPr>
            <w:tcW w:type="dxa" w:w="546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pPr>
              <w:jc w:val="left"/>
            </w:pPr>
            <w:r>
              <w:rPr>
                <w:rFonts w:ascii="Arial" w:cs="Arial" w:eastAsia="Arial" w:hAnsi="Arial"/>
                <w:b w:val="false"/>
                <w:bCs w:val="false"/>
                <w:color w:val="36454F"/>
                <w:sz w:val="20"/>
                <w:szCs w:val="20"/>
              </w:rPr>
              <w:t xml:space="preserve">Domain bridges validated</w:t>
            </w:r>
          </w:p>
        </w:tc>
        <w:tc>
          <w:tcPr>
            <w:tcW w:type="dxa" w:w="39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pPr>
              <w:jc w:val="left"/>
            </w:pPr>
            <w:r>
              <w:rPr>
                <w:rFonts w:ascii="Arial" w:cs="Arial" w:eastAsia="Arial" w:hAnsi="Arial"/>
                <w:b/>
                <w:bCs/>
                <w:color w:val="36454F"/>
                <w:sz w:val="20"/>
                <w:szCs w:val="20"/>
              </w:rPr>
              <w:t xml:space="preserve">6 of 6 (K₄ complete)</w:t>
            </w:r>
          </w:p>
        </w:tc>
      </w:tr>
      <w:tr>
        <w:tc>
          <w:tcPr>
            <w:tcW w:type="dxa" w:w="54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36454F"/>
                <w:sz w:val="20"/>
                <w:szCs w:val="20"/>
              </w:rPr>
              <w:t xml:space="preserve">Systems analysed</w:t>
            </w:r>
          </w:p>
        </w:tc>
        <w:tc>
          <w:tcPr>
            <w:tcW w:type="dxa" w:w="3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36454F"/>
                <w:sz w:val="20"/>
                <w:szCs w:val="20"/>
              </w:rPr>
              <w:t xml:space="preserve">75+ in Master Inventory; thousands more in big data tests</w:t>
            </w:r>
          </w:p>
        </w:tc>
      </w:tr>
      <w:tr>
        <w:tc>
          <w:tcPr>
            <w:tcW w:type="dxa" w:w="546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pPr>
              <w:jc w:val="left"/>
            </w:pPr>
            <w:r>
              <w:rPr>
                <w:rFonts w:ascii="Arial" w:cs="Arial" w:eastAsia="Arial" w:hAnsi="Arial"/>
                <w:b w:val="false"/>
                <w:bCs w:val="false"/>
                <w:color w:val="36454F"/>
                <w:sz w:val="20"/>
                <w:szCs w:val="20"/>
              </w:rPr>
              <w:t xml:space="preserve">Scale range</w:t>
            </w:r>
          </w:p>
        </w:tc>
        <w:tc>
          <w:tcPr>
            <w:tcW w:type="dxa" w:w="39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pPr>
              <w:jc w:val="left"/>
            </w:pPr>
            <w:r>
              <w:rPr>
                <w:rFonts w:ascii="Arial" w:cs="Arial" w:eastAsia="Arial" w:hAnsi="Arial"/>
                <w:b/>
                <w:bCs/>
                <w:color w:val="36454F"/>
                <w:sz w:val="20"/>
                <w:szCs w:val="20"/>
              </w:rPr>
              <w:t xml:space="preserve">44 orders of magnitude</w:t>
            </w:r>
          </w:p>
        </w:tc>
      </w:tr>
      <w:tr>
        <w:tc>
          <w:tcPr>
            <w:tcW w:type="dxa" w:w="54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36454F"/>
                <w:sz w:val="20"/>
                <w:szCs w:val="20"/>
              </w:rPr>
              <w:t xml:space="preserve">Time span of data</w:t>
            </w:r>
          </w:p>
        </w:tc>
        <w:tc>
          <w:tcPr>
            <w:tcW w:type="dxa" w:w="3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36454F"/>
                <w:sz w:val="20"/>
                <w:szCs w:val="20"/>
              </w:rPr>
              <w:t xml:space="preserve">Quarks (∼10⁻²³ s) to gold prices (338 years)</w:t>
            </w:r>
          </w:p>
        </w:tc>
      </w:tr>
      <w:tr>
        <w:tc>
          <w:tcPr>
            <w:tcW w:type="dxa" w:w="546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pPr>
              <w:jc w:val="left"/>
            </w:pPr>
            <w:r>
              <w:rPr>
                <w:rFonts w:ascii="Arial" w:cs="Arial" w:eastAsia="Arial" w:hAnsi="Arial"/>
                <w:b w:val="false"/>
                <w:bCs w:val="false"/>
                <w:color w:val="36454F"/>
                <w:sz w:val="20"/>
                <w:szCs w:val="20"/>
              </w:rPr>
              <w:t xml:space="preserve">Nuclides analysed</w:t>
            </w:r>
          </w:p>
        </w:tc>
        <w:tc>
          <w:tcPr>
            <w:tcW w:type="dxa" w:w="39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pPr>
              <w:jc w:val="left"/>
            </w:pPr>
            <w:r>
              <w:rPr>
                <w:rFonts w:ascii="Arial" w:cs="Arial" w:eastAsia="Arial" w:hAnsi="Arial"/>
                <w:b/>
                <w:bCs/>
                <w:color w:val="36454F"/>
                <w:sz w:val="20"/>
                <w:szCs w:val="20"/>
              </w:rPr>
              <w:t xml:space="preserve">3,554 (AME2020)</w:t>
            </w:r>
          </w:p>
        </w:tc>
      </w:tr>
      <w:tr>
        <w:tc>
          <w:tcPr>
            <w:tcW w:type="dxa" w:w="54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36454F"/>
                <w:sz w:val="20"/>
                <w:szCs w:val="20"/>
              </w:rPr>
              <w:t xml:space="preserve">Rock samples</w:t>
            </w:r>
          </w:p>
        </w:tc>
        <w:tc>
          <w:tcPr>
            <w:tcW w:type="dxa" w:w="3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36454F"/>
                <w:sz w:val="20"/>
                <w:szCs w:val="20"/>
              </w:rPr>
              <w:t xml:space="preserve">40,666 (GEOROC)</w:t>
            </w:r>
          </w:p>
        </w:tc>
      </w:tr>
      <w:tr>
        <w:tc>
          <w:tcPr>
            <w:tcW w:type="dxa" w:w="546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pPr>
              <w:jc w:val="left"/>
            </w:pPr>
            <w:r>
              <w:rPr>
                <w:rFonts w:ascii="Arial" w:cs="Arial" w:eastAsia="Arial" w:hAnsi="Arial"/>
                <w:b w:val="false"/>
                <w:bCs w:val="false"/>
                <w:color w:val="36454F"/>
                <w:sz w:val="20"/>
                <w:szCs w:val="20"/>
              </w:rPr>
              <w:t xml:space="preserve">Crystal structures</w:t>
            </w:r>
          </w:p>
        </w:tc>
        <w:tc>
          <w:tcPr>
            <w:tcW w:type="dxa" w:w="39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pPr>
              <w:jc w:val="left"/>
            </w:pPr>
            <w:r>
              <w:rPr>
                <w:rFonts w:ascii="Arial" w:cs="Arial" w:eastAsia="Arial" w:hAnsi="Arial"/>
                <w:b/>
                <w:bCs/>
                <w:color w:val="36454F"/>
                <w:sz w:val="20"/>
                <w:szCs w:val="20"/>
              </w:rPr>
              <w:t xml:space="preserve">1,013 (COD)</w:t>
            </w:r>
          </w:p>
        </w:tc>
      </w:tr>
      <w:tr>
        <w:tc>
          <w:tcPr>
            <w:tcW w:type="dxa" w:w="54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36454F"/>
                <w:sz w:val="20"/>
                <w:szCs w:val="20"/>
              </w:rPr>
              <w:t xml:space="preserve">Diagrams produced</w:t>
            </w:r>
          </w:p>
        </w:tc>
        <w:tc>
          <w:tcPr>
            <w:tcW w:type="dxa" w:w="3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36454F"/>
                <w:sz w:val="20"/>
                <w:szCs w:val="20"/>
              </w:rPr>
              <w:t xml:space="preserve">200+</w:t>
            </w:r>
          </w:p>
        </w:tc>
      </w:tr>
      <w:tr>
        <w:tc>
          <w:tcPr>
            <w:tcW w:type="dxa" w:w="546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pPr>
              <w:jc w:val="left"/>
            </w:pPr>
            <w:r>
              <w:rPr>
                <w:rFonts w:ascii="Arial" w:cs="Arial" w:eastAsia="Arial" w:hAnsi="Arial"/>
                <w:b w:val="false"/>
                <w:bCs w:val="false"/>
                <w:color w:val="36454F"/>
                <w:sz w:val="20"/>
                <w:szCs w:val="20"/>
              </w:rPr>
              <w:t xml:space="preserve">Interactive tools</w:t>
            </w:r>
          </w:p>
        </w:tc>
        <w:tc>
          <w:tcPr>
            <w:tcW w:type="dxa" w:w="39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pPr>
              <w:jc w:val="left"/>
            </w:pPr>
            <w:r>
              <w:rPr>
                <w:rFonts w:ascii="Arial" w:cs="Arial" w:eastAsia="Arial" w:hAnsi="Arial"/>
                <w:b/>
                <w:bCs/>
                <w:color w:val="36454F"/>
                <w:sz w:val="20"/>
                <w:szCs w:val="20"/>
              </w:rPr>
              <w:t xml:space="preserve">Higgins Simplex Scope</w:t>
            </w:r>
          </w:p>
        </w:tc>
      </w:tr>
      <w:tr>
        <w:tc>
          <w:tcPr>
            <w:tcW w:type="dxa" w:w="54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36454F"/>
                <w:sz w:val="20"/>
                <w:szCs w:val="20"/>
              </w:rPr>
              <w:t xml:space="preserve">Formal claims classified</w:t>
            </w:r>
          </w:p>
        </w:tc>
        <w:tc>
          <w:tcPr>
            <w:tcW w:type="dxa" w:w="3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36454F"/>
                <w:sz w:val="20"/>
                <w:szCs w:val="20"/>
              </w:rPr>
              <w:t xml:space="preserve">37</w:t>
            </w:r>
          </w:p>
        </w:tc>
      </w:tr>
      <w:tr>
        <w:tc>
          <w:tcPr>
            <w:tcW w:type="dxa" w:w="546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pPr>
              <w:jc w:val="left"/>
            </w:pPr>
            <w:r>
              <w:rPr>
                <w:rFonts w:ascii="Arial" w:cs="Arial" w:eastAsia="Arial" w:hAnsi="Arial"/>
                <w:b w:val="false"/>
                <w:bCs w:val="false"/>
                <w:color w:val="36454F"/>
                <w:sz w:val="20"/>
                <w:szCs w:val="20"/>
              </w:rPr>
              <w:t xml:space="preserve">Calibration precision achieved</w:t>
            </w:r>
          </w:p>
        </w:tc>
        <w:tc>
          <w:tcPr>
            <w:tcW w:type="dxa" w:w="39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pPr>
              <w:jc w:val="left"/>
            </w:pPr>
            <w:r>
              <w:rPr>
                <w:rFonts w:ascii="Arial" w:cs="Arial" w:eastAsia="Arial" w:hAnsi="Arial"/>
                <w:b/>
                <w:bCs/>
                <w:color w:val="36454F"/>
                <w:sz w:val="20"/>
                <w:szCs w:val="20"/>
              </w:rPr>
              <w:t xml:space="preserve">10⁻¹⁵</w:t>
            </w:r>
          </w:p>
        </w:tc>
      </w:tr>
      <w:tr>
        <w:tc>
          <w:tcPr>
            <w:tcW w:type="dxa" w:w="54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36454F"/>
                <w:sz w:val="20"/>
                <w:szCs w:val="20"/>
              </w:rPr>
              <w:t xml:space="preserve">Compositional floor exponent</w:t>
            </w:r>
          </w:p>
        </w:tc>
        <w:tc>
          <w:tcPr>
            <w:tcW w:type="dxa" w:w="3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36454F"/>
                <w:sz w:val="20"/>
                <w:szCs w:val="20"/>
              </w:rPr>
              <w:t xml:space="preserve">α = +0.18 (topological invariant)</w:t>
            </w:r>
          </w:p>
        </w:tc>
      </w:tr>
      <w:tr>
        <w:tc>
          <w:tcPr>
            <w:tcW w:type="dxa" w:w="546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pPr>
              <w:jc w:val="left"/>
            </w:pPr>
            <w:r>
              <w:rPr>
                <w:rFonts w:ascii="Arial" w:cs="Arial" w:eastAsia="Arial" w:hAnsi="Arial"/>
                <w:b w:val="false"/>
                <w:bCs w:val="false"/>
                <w:color w:val="36454F"/>
                <w:sz w:val="20"/>
                <w:szCs w:val="20"/>
              </w:rPr>
              <w:t xml:space="preserve">Force-matter asymmetry</w:t>
            </w:r>
          </w:p>
        </w:tc>
        <w:tc>
          <w:tcPr>
            <w:tcW w:type="dxa" w:w="39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pPr>
              <w:jc w:val="left"/>
            </w:pPr>
            <w:r>
              <w:rPr>
                <w:rFonts w:ascii="Arial" w:cs="Arial" w:eastAsia="Arial" w:hAnsi="Arial"/>
                <w:b/>
                <w:bCs/>
                <w:color w:val="36454F"/>
                <w:sz w:val="20"/>
                <w:szCs w:val="20"/>
              </w:rPr>
              <w:t xml:space="preserve">8:1 (steel), 296:0 (EM)</w:t>
            </w:r>
          </w:p>
        </w:tc>
      </w:tr>
      <w:tr>
        <w:tc>
          <w:tcPr>
            <w:tcW w:type="dxa" w:w="54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36454F"/>
                <w:sz w:val="20"/>
                <w:szCs w:val="20"/>
              </w:rPr>
              <w:t xml:space="preserve">Documents produced</w:t>
            </w:r>
          </w:p>
        </w:tc>
        <w:tc>
          <w:tcPr>
            <w:tcW w:type="dxa" w:w="3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36454F"/>
                <w:sz w:val="20"/>
                <w:szCs w:val="20"/>
              </w:rPr>
              <w:t xml:space="preserve">8 major .docx, 15+ JSON registries</w:t>
            </w:r>
          </w:p>
        </w:tc>
      </w:tr>
      <w:tr>
        <w:tc>
          <w:tcPr>
            <w:tcW w:type="dxa" w:w="546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pPr>
              <w:jc w:val="left"/>
            </w:pPr>
            <w:r>
              <w:rPr>
                <w:rFonts w:ascii="Arial" w:cs="Arial" w:eastAsia="Arial" w:hAnsi="Arial"/>
                <w:b w:val="false"/>
                <w:bCs w:val="false"/>
                <w:color w:val="36454F"/>
                <w:sz w:val="20"/>
                <w:szCs w:val="20"/>
              </w:rPr>
              <w:t xml:space="preserve">Duration</w:t>
            </w:r>
          </w:p>
        </w:tc>
        <w:tc>
          <w:tcPr>
            <w:tcW w:type="dxa" w:w="39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pPr>
              <w:jc w:val="left"/>
            </w:pPr>
            <w:r>
              <w:rPr>
                <w:rFonts w:ascii="Arial" w:cs="Arial" w:eastAsia="Arial" w:hAnsi="Arial"/>
                <w:b/>
                <w:bCs/>
                <w:color w:val="36454F"/>
                <w:sz w:val="20"/>
                <w:szCs w:val="20"/>
              </w:rPr>
              <w:t xml:space="preserve">December 2024 — April 2026 (16 months)</w:t>
            </w:r>
          </w:p>
        </w:tc>
      </w:tr>
    </w:tbl>
    <w:p>
      <w:r>
        <w:br w:type="page"/>
      </w:r>
    </w:p>
    <w:p>
      <w:pPr>
        <w:pStyle w:val="Heading1"/>
      </w:pPr>
      <w:r>
        <w:t xml:space="preserve">What It Means</w:t>
      </w:r>
    </w:p>
    <w:p>
      <w:pPr>
        <w:spacing w:after="160" w:line="320"/>
      </w:pPr>
      <w:r>
        <w:rPr>
          <w:rFonts w:ascii="Georgia" w:cs="Georgia" w:eastAsia="Georgia" w:hAnsi="Georgia"/>
          <w:color w:val="36454F"/>
          <w:sz w:val="24"/>
          <w:szCs w:val="24"/>
        </w:rPr>
        <w:t xml:space="preserve">Information Mechanics is the name given to what the experiment ladder revealed. It rests on three pillars: the Decomposition Instrument (a 12-step pipeline that works in all four physical domains), the Irreducible Floor (a topological invariant of the simplex that constrains every oscillating composition), and the Domain Graph (a K₄ complete graph linking energy, matter, force, and gravity).</w:t>
      </w:r>
    </w:p>
    <w:p>
      <w:pPr>
        <w:spacing w:after="160" w:line="320"/>
      </w:pPr>
      <w:r>
        <w:rPr>
          <w:rFonts w:ascii="Georgia" w:cs="Georgia" w:eastAsia="Georgia" w:hAnsi="Georgia"/>
          <w:color w:val="36454F"/>
          <w:sz w:val="24"/>
          <w:szCs w:val="24"/>
        </w:rPr>
        <w:t xml:space="preserve">The framework makes a simple claim: physical systems have compositional structure, that structure carries information, and the information has an irreducible minimum. The claim is testable: show a system where the decomposition fails, or where the floor vanishes, or where two domains cannot be linked. The experiment ladder tried to break it for 21 experiments and could not.</w:t>
      </w:r>
    </w:p>
    <w:p>
      <w:pPr>
        <w:spacing w:after="160" w:line="320"/>
      </w:pPr>
      <w:r>
        <w:rPr>
          <w:rFonts w:ascii="Georgia" w:cs="Georgia" w:eastAsia="Georgia" w:hAnsi="Georgia"/>
          <w:color w:val="36454F"/>
          <w:sz w:val="24"/>
          <w:szCs w:val="24"/>
        </w:rPr>
        <w:t xml:space="preserve">This does not make it true. It makes it unfalsified. The distinction matters. The Higgins Unity Framework is presented as an instrument, not a theory. The instrument produces diagnostics. The diagnostics are open to interpretation by expert decision and open to modification by expert judgment. That is the HUF-GOV doctrine: the instrument reads, never actuates. The loop stays open. The human decides.</w:t>
      </w:r>
    </w:p>
    <w:p>
      <w:pPr>
        <w:pStyle w:val="Heading1"/>
      </w:pPr>
      <w:r>
        <w:t xml:space="preserve">Looking Forward</w:t>
      </w:r>
    </w:p>
    <w:p>
      <w:pPr>
        <w:spacing w:after="160" w:line="320"/>
      </w:pPr>
      <w:r>
        <w:rPr>
          <w:rFonts w:ascii="Georgia" w:cs="Georgia" w:eastAsia="Georgia" w:hAnsi="Georgia"/>
          <w:color w:val="36454F"/>
          <w:sz w:val="24"/>
          <w:szCs w:val="24"/>
        </w:rPr>
        <w:t xml:space="preserve">The experiment ladder is closed. The framework is open. Three questions define the next programme of work:</w:t>
      </w:r>
    </w:p>
    <w:p>
      <w:pPr>
        <w:spacing w:after="160" w:line="320"/>
      </w:pPr>
      <w:r>
        <w:rPr>
          <w:rFonts w:ascii="Georgia" w:cs="Georgia" w:eastAsia="Georgia" w:hAnsi="Georgia"/>
          <w:b/>
          <w:bCs/>
          <w:color w:val="36454F"/>
          <w:sz w:val="24"/>
          <w:szCs w:val="24"/>
        </w:rPr>
        <w:t xml:space="preserve">First: </w:t>
      </w:r>
      <w:r>
        <w:rPr>
          <w:rFonts w:ascii="Georgia" w:cs="Georgia" w:eastAsia="Georgia" w:hAnsi="Georgia"/>
          <w:color w:val="36454F"/>
          <w:sz w:val="24"/>
          <w:szCs w:val="24"/>
        </w:rPr>
        <w:t xml:space="preserve">Can the three noise floors be unified? The quantum floor (ħω/2), the thermodynamic floor (residual entropy), and the compositional floor (α = +0.18) operate at different scales with different origins. An information-theoretic inequality connecting all three would be a significant result.</w:t>
      </w:r>
    </w:p>
    <w:p>
      <w:pPr>
        <w:spacing w:after="160" w:line="320"/>
      </w:pPr>
      <w:r>
        <w:rPr>
          <w:rFonts w:ascii="Georgia" w:cs="Georgia" w:eastAsia="Georgia" w:hAnsi="Georgia"/>
          <w:b/>
          <w:bCs/>
          <w:color w:val="36454F"/>
          <w:sz w:val="24"/>
          <w:szCs w:val="24"/>
        </w:rPr>
        <w:t xml:space="preserve">Second: </w:t>
      </w:r>
      <w:r>
        <w:rPr>
          <w:rFonts w:ascii="Georgia" w:cs="Georgia" w:eastAsia="Georgia" w:hAnsi="Georgia"/>
          <w:color w:val="36454F"/>
          <w:sz w:val="24"/>
          <w:szCs w:val="24"/>
        </w:rPr>
        <w:t xml:space="preserve">Does force-matter asymmetry survive general relativity? In the Newtonian and electromagnetic regimes tested so far, forces are always more turbulent than matter. In general relativity, the stress-energy tensor unifies force and matter. Does the asymmetry persist, or does it dissolve?</w:t>
      </w:r>
    </w:p>
    <w:p>
      <w:pPr>
        <w:spacing w:after="160" w:line="320"/>
      </w:pPr>
      <w:r>
        <w:rPr>
          <w:rFonts w:ascii="Georgia" w:cs="Georgia" w:eastAsia="Georgia" w:hAnsi="Georgia"/>
          <w:b/>
          <w:bCs/>
          <w:color w:val="36454F"/>
          <w:sz w:val="24"/>
          <w:szCs w:val="24"/>
        </w:rPr>
        <w:t xml:space="preserve">Third: </w:t>
      </w:r>
      <w:r>
        <w:rPr>
          <w:rFonts w:ascii="Georgia" w:cs="Georgia" w:eastAsia="Georgia" w:hAnsi="Georgia"/>
          <w:color w:val="36454F"/>
          <w:sz w:val="24"/>
          <w:szCs w:val="24"/>
        </w:rPr>
        <w:t xml:space="preserve">What can the CoDa community do with real-time compositional visualisation? The Simplex Scope is a proof of concept. Every researcher working with compositions — geochemists, ecologists, economists, physicists — has data that could be made visible this way. The cost of transitions, the structure of zero-crossings, the geometry of the simplex — these are universal. The tools to see them should be too.</w:t>
      </w:r>
    </w:p>
    <w:p>
      <w:pPr>
        <w:spacing w:after="240"/>
      </w:pPr>
    </w:p>
    <w:p>
      <w:pPr>
        <w:spacing w:after="160" w:line="320"/>
      </w:pPr>
      <w:r>
        <w:rPr>
          <w:rFonts w:ascii="Georgia" w:cs="Georgia" w:eastAsia="Georgia" w:hAnsi="Georgia"/>
          <w:i/>
          <w:iCs/>
          <w:color w:val="36454F"/>
          <w:sz w:val="24"/>
          <w:szCs w:val="24"/>
        </w:rPr>
        <w:t xml:space="preserve">The past is our strength and our future. The compositional structure first glimpsed in a loudspeaker diffraction correction in a basement lab in Markham now spans 44 orders of magnitude and four physical domains. The simplex is the same everywhere. That is where we stand.</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A6FA5"/>
        <w:sz w:val="16"/>
        <w:szCs w:val="16"/>
      </w:rPr>
      <w:t xml:space="preserve">HUF Programme Reflection — April 2026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A6FA5"/>
        <w:sz w:val="16"/>
        <w:szCs w:val="16"/>
      </w:rPr>
      <w:t xml:space="preserve">Page </w:t>
    </w:r>
    <w:r>
      <w:rPr>
        <w:rFonts w:ascii="Arial" w:cs="Arial" w:eastAsia="Arial" w:hAnsi="Arial"/>
        <w:color w:val="4A6FA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5042" w:sz="2" w:space="4"/>
      </w:pBdr>
      <w:tabs>
        <w:tab w:val="right" w:pos="9026"/>
      </w:tabs>
    </w:pPr>
    <w:r>
      <w:rPr>
        <w:rFonts w:ascii="Georgia" w:cs="Georgia" w:eastAsia="Georgia" w:hAnsi="Georgia"/>
        <w:i/>
        <w:iCs/>
        <w:color w:val="4A6FA5"/>
        <w:sz w:val="16"/>
        <w:szCs w:val="16"/>
      </w:rPr>
      <w:t xml:space="preserve">Where We Stand</w:t>
    </w:r>
    <w:r>
      <w:rPr>
        <w:rFonts w:ascii="Arial" w:cs="Arial" w:eastAsia="Arial" w:hAnsi="Arial"/>
        <w:color w:val="4A6FA5"/>
        <w:sz w:val="16"/>
        <w:szCs w:val="16"/>
      </w:rPr>
      <w:t xml:space="preserve">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Georgia" w:cs="Georgia" w:eastAsia="Georgia" w:hAnsi="Georgia"/>
      <w:b/>
      <w:bCs/>
      <w:color w:val="B85042"/>
      <w:sz w:val="36"/>
      <w:szCs w:val="36"/>
    </w:rPr>
  </w:style>
  <w:style w:type="paragraph" w:styleId="Heading2">
    <w:name w:val="Heading 2"/>
    <w:basedOn w:val="Normal"/>
    <w:next w:val="Normal"/>
    <w:qFormat/>
    <w:pPr>
      <w:spacing w:after="200" w:before="360"/>
      <w:outlineLvl w:val="1"/>
    </w:pPr>
    <w:rPr>
      <w:rFonts w:ascii="Georgia" w:cs="Georgia" w:eastAsia="Georgia" w:hAnsi="Georgia"/>
      <w:b/>
      <w:bCs/>
      <w:color w:val="1E2761"/>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2026-04-22T15:53:14.076Z</dcterms:created>
  <dcterms:modified xsi:type="dcterms:W3CDTF">2026-04-22T15:53:14.076Z</dcterms:modified>
</cp:coreProperties>
</file>

<file path=docProps/custom.xml><?xml version="1.0" encoding="utf-8"?>
<Properties xmlns="http://schemas.openxmlformats.org/officeDocument/2006/custom-properties" xmlns:vt="http://schemas.openxmlformats.org/officeDocument/2006/docPropsVTypes"/>
</file>