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Arial Black" w:cs="Arial Black" w:eastAsia="Arial Black" w:hAnsi="Arial Black"/>
          <w:b/>
          <w:bCs/>
          <w:color w:val="1E2761"/>
          <w:sz w:val="52"/>
          <w:szCs w:val="52"/>
        </w:rPr>
        <w:t xml:space="preserve">INFORMATION MECHANICS</w:t>
      </w:r>
    </w:p>
    <w:p>
      <w:pPr>
        <w:pBdr>
          <w:bottom w:val="single" w:color="028090" w:sz="6" w:space="8"/>
        </w:pBdr>
        <w:spacing w:after="80"/>
        <w:jc w:val="center"/>
      </w:pPr>
      <w:r>
        <w:rPr>
          <w:rFonts w:ascii="Arial" w:cs="Arial" w:eastAsia="Arial" w:hAnsi="Arial"/>
          <w:color w:val="028090"/>
          <w:sz w:val="28"/>
          <w:szCs w:val="28"/>
        </w:rPr>
        <w:t xml:space="preserve">The Composition of Decomposition Instruments</w:t>
      </w:r>
    </w:p>
    <w:p>
      <w:pPr>
        <w:spacing w:after="300"/>
      </w:pPr>
    </w:p>
    <w:p>
      <w:pPr>
        <w:spacing w:after="60"/>
        <w:jc w:val="center"/>
      </w:pPr>
      <w:r>
        <w:rPr>
          <w:rFonts w:ascii="Georgia" w:cs="Georgia" w:eastAsia="Georgia" w:hAnsi="Georgia"/>
          <w:i/>
          <w:iCs/>
          <w:color w:val="444444"/>
          <w:sz w:val="24"/>
          <w:szCs w:val="24"/>
        </w:rPr>
        <w:t xml:space="preserve">A Declaration from the Higgins Unity Framework</w:t>
      </w:r>
    </w:p>
    <w:p>
      <w:pPr>
        <w:spacing w:after="200"/>
      </w:pPr>
    </w:p>
    <w:p>
      <w:pPr>
        <w:spacing w:after="60"/>
        <w:jc w:val="center"/>
      </w:pPr>
      <w:r>
        <w:rPr>
          <w:rFonts w:ascii="Arial" w:cs="Arial" w:eastAsia="Arial" w:hAnsi="Arial"/>
          <w:b/>
          <w:bCs/>
          <w:sz w:val="26"/>
          <w:szCs w:val="26"/>
        </w:rPr>
        <w:t xml:space="preserve">Peter Higgins</w:t>
      </w:r>
    </w:p>
    <w:p>
      <w:pPr>
        <w:spacing w:after="60"/>
        <w:jc w:val="center"/>
      </w:pPr>
      <w:r>
        <w:rPr>
          <w:rFonts w:ascii="Georgia" w:cs="Georgia" w:eastAsia="Georgia" w:hAnsi="Georgia"/>
          <w:color w:val="028090"/>
          <w:sz w:val="22"/>
          <w:szCs w:val="22"/>
        </w:rPr>
        <w:t xml:space="preserve">peterhiggins2016@gmail.com</w:t>
      </w:r>
    </w:p>
    <w:p>
      <w:pPr>
        <w:spacing w:after="200"/>
      </w:pPr>
    </w:p>
    <w:p>
      <w:pPr>
        <w:spacing w:after="60"/>
        <w:jc w:val="center"/>
      </w:pPr>
      <w:r>
        <w:rPr>
          <w:rFonts w:ascii="Georgia" w:cs="Georgia" w:eastAsia="Georgia" w:hAnsi="Georgia"/>
          <w:sz w:val="22"/>
          <w:szCs w:val="22"/>
        </w:rPr>
        <w:t xml:space="preserve">CoDaWork 2026 — Coimbra, Portugal</w:t>
      </w:r>
    </w:p>
    <w:p>
      <w:pPr>
        <w:spacing w:after="200"/>
        <w:jc w:val="center"/>
      </w:pPr>
      <w:r>
        <w:rPr>
          <w:rFonts w:ascii="Georgia" w:cs="Georgia" w:eastAsia="Georgia" w:hAnsi="Georgia"/>
          <w:color w:val="666666"/>
          <w:sz w:val="22"/>
          <w:szCs w:val="22"/>
        </w:rPr>
        <w:t xml:space="preserve">June 1–5, 2026</w:t>
      </w:r>
    </w:p>
    <w:p>
      <w:pPr>
        <w:spacing w:after="400"/>
      </w:pPr>
    </w:p>
    <w:p>
      <w:pPr>
        <w:spacing w:after="80" w:before="200"/>
        <w:ind w:left="720" w:right="720"/>
        <w:jc w:val="center"/>
      </w:pPr>
      <w:r>
        <w:rPr>
          <w:rFonts w:ascii="Georgia" w:cs="Georgia" w:eastAsia="Georgia" w:hAnsi="Georgia"/>
          <w:i/>
          <w:iCs/>
          <w:color w:val="444444"/>
          <w:sz w:val="22"/>
          <w:szCs w:val="22"/>
        </w:rPr>
        <w:t xml:space="preserve">“Material development in an Energetic demeanor that requires demanding Forceful content to convey the Gravity of the situation.”</w:t>
      </w:r>
    </w:p>
    <w:p>
      <w:pPr>
        <w:spacing w:after="240"/>
        <w:ind w:left="720" w:right="720"/>
        <w:jc w:val="center"/>
      </w:pPr>
      <w:r>
        <w:rPr>
          <w:rFonts w:ascii="Georgia" w:cs="Georgia" w:eastAsia="Georgia" w:hAnsi="Georgia"/>
          <w:color w:val="666666"/>
          <w:sz w:val="20"/>
          <w:szCs w:val="20"/>
        </w:rPr>
        <w:t xml:space="preserve">— P. Higgins, 2026</w:t>
      </w:r>
    </w:p>
    <w:p>
      <w:pPr>
        <w:sectPr>
          <w:pgSz w:w="12240" w:h="15840" w:orient="portrait"/>
          <w:pgMar w:top="2880" w:right="1440" w:bottom="1440" w:left="1440" w:header="708" w:footer="708" w:gutter="0"/>
          <w:pgNumType/>
          <w:docGrid w:linePitch="360"/>
        </w:sectPr>
      </w:pPr>
    </w:p>
    <w:p>
      <w:pPr>
        <w:spacing w:after="300"/>
      </w:pPr>
      <w:r>
        <w:rPr>
          <w:rFonts w:ascii="Arial Black" w:cs="Arial Black" w:eastAsia="Arial Black" w:hAnsi="Arial Black"/>
          <w:b/>
          <w:bCs/>
          <w:color w:val="1E2761"/>
          <w:sz w:val="36"/>
          <w:szCs w:val="36"/>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Black" w:cs="Arial Black" w:eastAsia="Arial Black" w:hAnsi="Arial Black"/>
          <w:b/>
          <w:bCs/>
          <w:color w:val="1E2761"/>
          <w:sz w:val="32"/>
          <w:szCs w:val="32"/>
        </w:rPr>
        <w:t xml:space="preserve">1. Abstract</w:t>
      </w:r>
    </w:p>
    <w:p>
      <w:pPr>
        <w:spacing w:after="160" w:line="320"/>
        <w:jc w:val="left"/>
      </w:pPr>
      <w:r>
        <w:rPr>
          <w:rFonts w:ascii="Georgia" w:cs="Georgia" w:eastAsia="Georgia" w:hAnsi="Georgia"/>
          <w:b w:val="false"/>
          <w:bCs w:val="false"/>
          <w:i w:val="false"/>
          <w:iCs w:val="false"/>
          <w:color w:val="000000"/>
          <w:sz w:val="23"/>
          <w:szCs w:val="23"/>
        </w:rPr>
        <w:t xml:space="preserve">This paper declares Information Mechanics as a framework for understanding physical systems through compositional data analysis. We demonstrate that when any physical process is decomposed into carriers and closed to the simplex, an irreducible structure emerges that is governed not by the physics of the individual carriers but by the geometry of the compositional space itself.</w:t>
      </w:r>
    </w:p>
    <w:p>
      <w:pPr>
        <w:spacing w:after="160" w:line="320"/>
        <w:jc w:val="left"/>
      </w:pPr>
      <w:r>
        <w:rPr>
          <w:rFonts w:ascii="Georgia" w:cs="Georgia" w:eastAsia="Georgia" w:hAnsi="Georgia"/>
          <w:b w:val="false"/>
          <w:bCs w:val="false"/>
          <w:i w:val="false"/>
          <w:iCs w:val="false"/>
          <w:color w:val="000000"/>
          <w:sz w:val="23"/>
          <w:szCs w:val="23"/>
        </w:rPr>
        <w:t xml:space="preserve">Through a sequence of four experiments spanning the domains of energy, matter, force, and gravity, we establish that: (a) compositional chaos arises structurally from carrier zero-crossings and cannot be eliminated by any parameter choice; (b) this chaos floor is a topological invariant, surviving changes of integrator, time step, and initial conditions; (c) the frequency of compositional deviations is set by the physics while their information resolution is set by the analyst’s choice of decomposition; and (d) the yield point in a stress-strain system is a simultaneous singularity on both the force and matter simplices, bridging these domains through shared information geometry.</w:t>
      </w:r>
    </w:p>
    <w:p>
      <w:pPr>
        <w:spacing w:after="160" w:line="320"/>
        <w:jc w:val="left"/>
      </w:pPr>
      <w:r>
        <w:rPr>
          <w:rFonts w:ascii="Georgia" w:cs="Georgia" w:eastAsia="Georgia" w:hAnsi="Georgia"/>
          <w:b w:val="false"/>
          <w:bCs w:val="false"/>
          <w:i w:val="false"/>
          <w:iCs w:val="false"/>
          <w:color w:val="000000"/>
          <w:sz w:val="23"/>
          <w:szCs w:val="23"/>
        </w:rPr>
        <w:t xml:space="preserve">We propose that compositional data analysis, when applied systematically across physics, constitutes not merely a statistical technique but a mechanics of information—a universal instrument for reading the compositional anatomy of any constrained system.</w:t>
      </w:r>
    </w:p>
    <w:p>
      <w:r>
        <w:br w:type="page"/>
      </w:r>
    </w:p>
    <w:p>
      <w:pPr>
        <w:pStyle w:val="Heading1"/>
        <w:spacing w:after="200" w:before="360"/>
      </w:pPr>
      <w:r>
        <w:rPr>
          <w:rFonts w:ascii="Arial Black" w:cs="Arial Black" w:eastAsia="Arial Black" w:hAnsi="Arial Black"/>
          <w:b/>
          <w:bCs/>
          <w:color w:val="1E2761"/>
          <w:sz w:val="32"/>
          <w:szCs w:val="32"/>
        </w:rPr>
        <w:t xml:space="preserve">2. Declaration</w:t>
      </w:r>
    </w:p>
    <w:p>
      <w:pPr>
        <w:spacing w:after="160" w:line="320"/>
        <w:jc w:val="left"/>
      </w:pPr>
      <w:r>
        <w:rPr>
          <w:rFonts w:ascii="Georgia" w:cs="Georgia" w:eastAsia="Georgia" w:hAnsi="Georgia"/>
          <w:b w:val="false"/>
          <w:bCs w:val="false"/>
          <w:i w:val="false"/>
          <w:iCs w:val="false"/>
          <w:color w:val="000000"/>
          <w:sz w:val="23"/>
          <w:szCs w:val="23"/>
        </w:rPr>
        <w:t xml:space="preserve">The Higgins Unity Framework has, across eighteen experiments, applied Compositional Data Analysis to systems spanning atomic crystallography, nuclear fusion, geochemistry, acoustics, financial markets, particle physics, and classical mechanics. Each experiment decomposed a physical process into carriers, closed the carriers to the simplex, and applied the twelve-step Higgins Decomposition pipeline to extract compositional structure.</w:t>
      </w:r>
    </w:p>
    <w:p>
      <w:pPr>
        <w:spacing w:after="160" w:line="320"/>
        <w:jc w:val="left"/>
      </w:pPr>
      <w:r>
        <w:rPr>
          <w:rFonts w:ascii="Georgia" w:cs="Georgia" w:eastAsia="Georgia" w:hAnsi="Georgia"/>
          <w:b w:val="false"/>
          <w:bCs w:val="false"/>
          <w:i w:val="false"/>
          <w:iCs w:val="false"/>
          <w:color w:val="000000"/>
          <w:sz w:val="23"/>
          <w:szCs w:val="23"/>
        </w:rPr>
        <w:t xml:space="preserve">A pattern has emerged that transcends the individual experiments. The pattern is this:</w:t>
      </w:r>
    </w:p>
    <w:p>
      <w:pPr>
        <w:spacing w:after="80" w:before="200"/>
        <w:ind w:left="720" w:right="720"/>
        <w:jc w:val="center"/>
      </w:pPr>
      <w:r>
        <w:rPr>
          <w:rFonts w:ascii="Georgia" w:cs="Georgia" w:eastAsia="Georgia" w:hAnsi="Georgia"/>
          <w:i/>
          <w:iCs/>
          <w:color w:val="444444"/>
          <w:sz w:val="22"/>
          <w:szCs w:val="22"/>
        </w:rPr>
        <w:t xml:space="preserve">“Every constrained physical system, when decomposed into carriers and projected onto the simplex, exhibits an irreducible compositional structure that encodes the information geometry of the system itself.”</w:t>
      </w:r>
    </w:p>
    <w:p>
      <w:pPr>
        <w:spacing w:after="240"/>
        <w:ind w:left="720" w:right="720"/>
        <w:jc w:val="center"/>
      </w:pPr>
      <w:r>
        <w:rPr>
          <w:rFonts w:ascii="Georgia" w:cs="Georgia" w:eastAsia="Georgia" w:hAnsi="Georgia"/>
          <w:color w:val="666666"/>
          <w:sz w:val="20"/>
          <w:szCs w:val="20"/>
        </w:rPr>
        <w:t xml:space="preserve">— The Information Mechanics Principle</w:t>
      </w:r>
    </w:p>
    <w:p>
      <w:pPr>
        <w:spacing w:after="160" w:line="320"/>
        <w:jc w:val="left"/>
      </w:pPr>
      <w:r>
        <w:rPr>
          <w:rFonts w:ascii="Georgia" w:cs="Georgia" w:eastAsia="Georgia" w:hAnsi="Georgia"/>
          <w:b w:val="false"/>
          <w:bCs w:val="false"/>
          <w:i w:val="false"/>
          <w:iCs w:val="false"/>
          <w:color w:val="000000"/>
          <w:sz w:val="23"/>
          <w:szCs w:val="23"/>
        </w:rPr>
        <w:t xml:space="preserve">This is not a statement about noise, numerical error, or modelling artefact. Experiment 17 proved this decisively: the compositional chaos floor survives changes of numerical integrator (RK4, RK2, Euler), time step (0.5ms to 5ms), and initial conditions (10 randomised trials). The coefficient of variation across all perturbations is 1.2%. This is geometry, not noise.</w:t>
      </w:r>
    </w:p>
    <w:p>
      <w:pPr>
        <w:spacing w:after="160" w:line="320"/>
        <w:jc w:val="left"/>
      </w:pPr>
      <w:r>
        <w:rPr>
          <w:rFonts w:ascii="Georgia" w:cs="Georgia" w:eastAsia="Georgia" w:hAnsi="Georgia"/>
          <w:b w:val="false"/>
          <w:bCs w:val="false"/>
          <w:i w:val="false"/>
          <w:iCs w:val="false"/>
          <w:color w:val="000000"/>
          <w:sz w:val="23"/>
          <w:szCs w:val="23"/>
        </w:rPr>
        <w:t xml:space="preserve">We therefore declare Information Mechanics as the study of irreducible compositional structure in physical systems. Its instruments are the twelve steps of the Higgins Decomposition. Its discovery is that the simplex has a physics of its own.</w:t>
      </w:r>
    </w:p>
    <w:p>
      <w:r>
        <w:br w:type="page"/>
      </w:r>
    </w:p>
    <w:p>
      <w:pPr>
        <w:pStyle w:val="Heading1"/>
        <w:spacing w:after="200" w:before="360"/>
      </w:pPr>
      <w:r>
        <w:rPr>
          <w:rFonts w:ascii="Arial Black" w:cs="Arial Black" w:eastAsia="Arial Black" w:hAnsi="Arial Black"/>
          <w:b/>
          <w:bCs/>
          <w:color w:val="1E2761"/>
          <w:sz w:val="32"/>
          <w:szCs w:val="32"/>
        </w:rPr>
        <w:t xml:space="preserve">3. The Twelve-Step Decomposition Instrument</w:t>
      </w:r>
    </w:p>
    <w:p>
      <w:pPr>
        <w:spacing w:after="160" w:line="320"/>
        <w:jc w:val="left"/>
      </w:pPr>
      <w:r>
        <w:rPr>
          <w:rFonts w:ascii="Georgia" w:cs="Georgia" w:eastAsia="Georgia" w:hAnsi="Georgia"/>
          <w:b w:val="false"/>
          <w:bCs w:val="false"/>
          <w:i w:val="false"/>
          <w:iCs w:val="false"/>
          <w:color w:val="000000"/>
          <w:sz w:val="23"/>
          <w:szCs w:val="23"/>
        </w:rPr>
        <w:t xml:space="preserve">The Higgins Decomposition is a pipeline that transforms raw physical measurements into compositional diagnostics. Each step is necessary; none is sufficient alone. Together they constitute the instrument of Information Mechanics.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56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1</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sz w:val="20"/>
                <w:szCs w:val="20"/>
              </w:rPr>
              <w:t xml:space="preserve">Define System</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20"/>
                <w:szCs w:val="20"/>
              </w:rPr>
              <w:t xml:space="preserve">Identify the physical system and its governing equations or empirical data source.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Identify Carriers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0"/>
                <w:szCs w:val="20"/>
              </w:rPr>
              <w:t xml:space="preserve">Decompose into N force, energy, or material carriers that partition the system’s total budget.</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3</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sz w:val="20"/>
                <w:szCs w:val="20"/>
              </w:rPr>
              <w:t xml:space="preserve">Simulate / Measure</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20"/>
                <w:szCs w:val="20"/>
              </w:rPr>
              <w:t xml:space="preserve">Generate or acquire time-series data via RK4 integration, experimental measurement, or database query.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Close to Simplex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0"/>
                <w:szCs w:val="20"/>
              </w:rPr>
              <w:t xml:space="preserve">Normalise carrier magnitudes so they sum to unity at each time step: p_i = |F_i| / Σ|F_j|.</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5</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sz w:val="20"/>
                <w:szCs w:val="20"/>
              </w:rPr>
              <w:t xml:space="preserve">CLR Transform</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20"/>
                <w:szCs w:val="20"/>
              </w:rPr>
              <w:t xml:space="preserve">Apply the centred log-ratio transform to map from the simplex to unconstrained Euclidean space.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Aitchison Variance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0"/>
                <w:szCs w:val="20"/>
              </w:rPr>
              <w:t xml:space="preserve">Compute the total compositional variance as a single scalar diagnostic of system spread.</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7</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sz w:val="20"/>
                <w:szCs w:val="20"/>
              </w:rPr>
              <w:t xml:space="preserve">PLL Parabola</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20"/>
                <w:szCs w:val="20"/>
              </w:rPr>
              <w:t xml:space="preserve">Fit the Perturbation Log-Likelihood parabola to quantify compositional sensitivity.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Super Squeeze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0"/>
                <w:szCs w:val="20"/>
              </w:rPr>
              <w:t xml:space="preserve">Identify the maximum compositional compression point—the tightest the system gets on the simplex.</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9</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sz w:val="20"/>
                <w:szCs w:val="20"/>
              </w:rPr>
              <w:t xml:space="preserve">EITT Entropy</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20"/>
                <w:szCs w:val="20"/>
              </w:rPr>
              <w:t xml:space="preserve">Track Shannon entropy and angular velocity to detect regime changes and compositional deviations.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Ternary Projection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0"/>
                <w:szCs w:val="20"/>
              </w:rPr>
              <w:t xml:space="preserve">Project onto the 2-simplex for visual inspection of compositional trajectories and clustering.</w:t>
            </w:r>
          </w:p>
        </w:tc>
      </w:tr>
      <w:tr>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11</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sz w:val="20"/>
                <w:szCs w:val="20"/>
              </w:rPr>
              <w:t xml:space="preserve">Complex Plane</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20"/>
                <w:szCs w:val="20"/>
              </w:rPr>
              <w:t xml:space="preserve">Map compositions to the complex plane via z = CLR₁ + i·CLR₂ for spectral and phase analysis.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28090"/>
                <w:sz w:val="20"/>
                <w:szCs w:val="20"/>
              </w:rPr>
              <w:t xml:space="preserve">12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3D Helix / Polar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0"/>
                <w:szCs w:val="20"/>
              </w:rPr>
              <w:t xml:space="preserve">Extend to time-mapped helix and polar decomposition for full spatiotemporal compositional anatomy.</w:t>
            </w:r>
          </w:p>
        </w:tc>
      </w:tr>
    </w:tbl>
    <w:p>
      <w:pPr>
        <w:spacing w:after="200"/>
      </w:pPr>
    </w:p>
    <w:p>
      <w:pPr>
        <w:spacing w:after="160" w:line="320"/>
        <w:ind w:firstLine="480"/>
        <w:jc w:val="left"/>
      </w:pPr>
      <w:r>
        <w:rPr>
          <w:rFonts w:ascii="Georgia" w:cs="Georgia" w:eastAsia="Georgia" w:hAnsi="Georgia"/>
          <w:b w:val="false"/>
          <w:bCs w:val="false"/>
          <w:i w:val="false"/>
          <w:iCs w:val="false"/>
          <w:color w:val="000000"/>
          <w:sz w:val="23"/>
          <w:szCs w:val="23"/>
        </w:rPr>
        <w:t xml:space="preserve">This pipeline is domain-agnostic. It has been applied unchanged to gold-silver price ratios, uranium geochemistry, quark flavour mixing, X-ray crystallography, and spring-mass dynamics. The instrument does not care what the carriers are—only that they exist, sum to a whole, and evolve through time.</w:t>
      </w:r>
    </w:p>
    <w:p>
      <w:r>
        <w:br w:type="page"/>
      </w:r>
    </w:p>
    <w:p>
      <w:pPr>
        <w:pStyle w:val="Heading1"/>
        <w:spacing w:after="200" w:before="360"/>
      </w:pPr>
      <w:r>
        <w:rPr>
          <w:rFonts w:ascii="Arial Black" w:cs="Arial Black" w:eastAsia="Arial Black" w:hAnsi="Arial Black"/>
          <w:b/>
          <w:bCs/>
          <w:color w:val="1E2761"/>
          <w:sz w:val="32"/>
          <w:szCs w:val="32"/>
        </w:rPr>
        <w:t xml:space="preserve">4. The Domain Chain</w:t>
      </w:r>
    </w:p>
    <w:p>
      <w:pPr>
        <w:spacing w:after="160" w:line="320"/>
        <w:jc w:val="left"/>
      </w:pPr>
      <w:r>
        <w:rPr>
          <w:rFonts w:ascii="Georgia" w:cs="Georgia" w:eastAsia="Georgia" w:hAnsi="Georgia"/>
          <w:b w:val="false"/>
          <w:bCs w:val="false"/>
          <w:i w:val="false"/>
          <w:iCs w:val="false"/>
          <w:color w:val="000000"/>
          <w:sz w:val="23"/>
          <w:szCs w:val="23"/>
        </w:rPr>
        <w:t xml:space="preserve">The eighteen experiments of the HUF programme span four fundamental physics domains. Experiments 15 through 18 establish explicit compositional bridges between them, creating a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c>
          <w:tcPr>
            <w:tcW w:type="dxa" w:w="1800"/>
            <w:tcBorders>
              <w:top w:val="single" w:color="CCCCCC" w:sz="1"/>
              <w:left w:val="single" w:color="CCCCCC" w:sz="1"/>
              <w:bottom w:val="single" w:color="CCCCCC" w:sz="1"/>
              <w:right w:val="single" w:color="CCCCCC" w:sz="1"/>
            </w:tcBorders>
            <w:shd w:fill="028090"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2000"/>
            <w:tcBorders>
              <w:top w:val="single" w:color="CCCCCC" w:sz="1"/>
              <w:left w:val="single" w:color="CCCCCC" w:sz="1"/>
              <w:bottom w:val="single" w:color="CCCCCC" w:sz="1"/>
              <w:right w:val="single" w:color="CCCCCC" w:sz="1"/>
            </w:tcBorders>
            <w:shd w:fill="028090" w:val="clear"/>
            <w:tcMar>
              <w:top w:type="dxa" w:w="80"/>
              <w:left w:type="dxa" w:w="120"/>
              <w:bottom w:type="dxa" w:w="80"/>
              <w:right w:type="dxa" w:w="120"/>
            </w:tcMar>
          </w:tcPr>
          <w:p>
            <w:r>
              <w:rPr>
                <w:rFonts w:ascii="Arial" w:cs="Arial" w:eastAsia="Arial" w:hAnsi="Arial"/>
                <w:b/>
                <w:bCs/>
                <w:color w:val="FFFFFF"/>
                <w:sz w:val="20"/>
                <w:szCs w:val="20"/>
              </w:rPr>
              <w:t xml:space="preserve">Experiment</w:t>
            </w:r>
          </w:p>
        </w:tc>
        <w:tc>
          <w:tcPr>
            <w:tcW w:type="dxa" w:w="2800"/>
            <w:tcBorders>
              <w:top w:val="single" w:color="CCCCCC" w:sz="1"/>
              <w:left w:val="single" w:color="CCCCCC" w:sz="1"/>
              <w:bottom w:val="single" w:color="CCCCCC" w:sz="1"/>
              <w:right w:val="single" w:color="CCCCCC" w:sz="1"/>
            </w:tcBorders>
            <w:shd w:fill="028090"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2760"/>
            <w:tcBorders>
              <w:top w:val="single" w:color="CCCCCC" w:sz="1"/>
              <w:left w:val="single" w:color="CCCCCC" w:sz="1"/>
              <w:bottom w:val="single" w:color="CCCCCC" w:sz="1"/>
              <w:right w:val="single" w:color="CCCCCC" w:sz="1"/>
            </w:tcBorders>
            <w:shd w:fill="028090" w:val="clear"/>
            <w:tcMar>
              <w:top w:type="dxa" w:w="80"/>
              <w:left w:type="dxa" w:w="120"/>
              <w:bottom w:type="dxa" w:w="80"/>
              <w:right w:type="dxa" w:w="120"/>
            </w:tcMar>
          </w:tcPr>
          <w:p>
            <w:r>
              <w:rPr>
                <w:rFonts w:ascii="Arial" w:cs="Arial" w:eastAsia="Arial" w:hAnsi="Arial"/>
                <w:b/>
                <w:bCs/>
                <w:color w:val="FFFFFF"/>
                <w:sz w:val="20"/>
                <w:szCs w:val="20"/>
              </w:rPr>
              <w:t xml:space="preserve">Carriers</w:t>
            </w:r>
          </w:p>
        </w:tc>
      </w:tr>
      <w:tr>
        <w:tc>
          <w:tcPr>
            <w:tcW w:type="dxa" w:w="180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rFonts w:ascii="Georgia" w:cs="Georgia" w:eastAsia="Georgia" w:hAnsi="Georgia"/>
                <w:b/>
                <w:bCs/>
                <w:sz w:val="20"/>
                <w:szCs w:val="20"/>
              </w:rPr>
              <w:t xml:space="preserve">ENERGY</w:t>
            </w:r>
          </w:p>
        </w:tc>
        <w:tc>
          <w:tcPr>
            <w:tcW w:type="dxa" w:w="200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rFonts w:ascii="Georgia" w:cs="Georgia" w:eastAsia="Georgia" w:hAnsi="Georgia"/>
                <w:b w:val="false"/>
                <w:bCs w:val="false"/>
                <w:sz w:val="20"/>
                <w:szCs w:val="20"/>
              </w:rPr>
              <w:t xml:space="preserve">EXP-15</w:t>
            </w:r>
          </w:p>
        </w:tc>
        <w:tc>
          <w:tcPr>
            <w:tcW w:type="dxa" w:w="280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rFonts w:ascii="Georgia" w:cs="Georgia" w:eastAsia="Georgia" w:hAnsi="Georgia"/>
                <w:b w:val="false"/>
                <w:bCs w:val="false"/>
                <w:sz w:val="20"/>
                <w:szCs w:val="20"/>
              </w:rPr>
              <w:t xml:space="preserve">X-ray crystallography</w:t>
            </w:r>
          </w:p>
        </w:tc>
        <w:tc>
          <w:tcPr>
            <w:tcW w:type="dxa" w:w="276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rFonts w:ascii="Georgia" w:cs="Georgia" w:eastAsia="Georgia" w:hAnsi="Georgia"/>
                <w:b w:val="false"/>
                <w:bCs w:val="false"/>
                <w:sz w:val="20"/>
                <w:szCs w:val="20"/>
              </w:rPr>
              <w:t xml:space="preserve">d-spacing, intensity, phase, thermal factor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bCs/>
                <w:sz w:val="20"/>
                <w:szCs w:val="20"/>
              </w:rPr>
              <w:t xml:space="preserve">MATTER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EXP-15 + 18</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Crystal lattice, material phases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Elastic energy, plastic work, heat, damage</w:t>
            </w:r>
          </w:p>
        </w:tc>
      </w:tr>
      <w:tr>
        <w:tc>
          <w:tcPr>
            <w:tcW w:type="dxa" w:w="180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rFonts w:ascii="Georgia" w:cs="Georgia" w:eastAsia="Georgia" w:hAnsi="Georgia"/>
                <w:b/>
                <w:bCs/>
                <w:sz w:val="20"/>
                <w:szCs w:val="20"/>
              </w:rPr>
              <w:t xml:space="preserve">FORCE</w:t>
            </w:r>
          </w:p>
        </w:tc>
        <w:tc>
          <w:tcPr>
            <w:tcW w:type="dxa" w:w="200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rFonts w:ascii="Georgia" w:cs="Georgia" w:eastAsia="Georgia" w:hAnsi="Georgia"/>
                <w:b w:val="false"/>
                <w:bCs w:val="false"/>
                <w:sz w:val="20"/>
                <w:szCs w:val="20"/>
              </w:rPr>
              <w:t xml:space="preserve">EXP-16/17/18</w:t>
            </w:r>
          </w:p>
        </w:tc>
        <w:tc>
          <w:tcPr>
            <w:tcW w:type="dxa" w:w="280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rFonts w:ascii="Georgia" w:cs="Georgia" w:eastAsia="Georgia" w:hAnsi="Georgia"/>
                <w:b w:val="false"/>
                <w:bCs w:val="false"/>
                <w:sz w:val="20"/>
                <w:szCs w:val="20"/>
              </w:rPr>
              <w:t xml:space="preserve">Spring-mass, stress-strain</w:t>
            </w:r>
          </w:p>
        </w:tc>
        <w:tc>
          <w:tcPr>
            <w:tcW w:type="dxa" w:w="276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rFonts w:ascii="Georgia" w:cs="Georgia" w:eastAsia="Georgia" w:hAnsi="Georgia"/>
                <w:b w:val="false"/>
                <w:bCs w:val="false"/>
                <w:sz w:val="20"/>
                <w:szCs w:val="20"/>
              </w:rPr>
              <w:t xml:space="preserve">Gravity, spring, damping, inertial; elastic, plastic, thermal, damage stress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bCs/>
                <w:sz w:val="20"/>
                <w:szCs w:val="20"/>
              </w:rPr>
              <w:t xml:space="preserve">GRAVITY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EXP-16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Gravitational carrier</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mg as constant driver, balanced by spring and damping</w:t>
            </w:r>
          </w:p>
        </w:tc>
      </w:tr>
    </w:tbl>
    <w:p>
      <w:pPr>
        <w:spacing w:after="200"/>
      </w:pPr>
    </w:p>
    <w:p>
      <w:pPr>
        <w:spacing w:after="160" w:line="320"/>
        <w:ind w:firstLine="480"/>
        <w:jc w:val="left"/>
      </w:pPr>
      <w:r>
        <w:rPr>
          <w:rFonts w:ascii="Georgia" w:cs="Georgia" w:eastAsia="Georgia" w:hAnsi="Georgia"/>
          <w:b w:val="false"/>
          <w:bCs w:val="false"/>
          <w:i w:val="false"/>
          <w:iCs w:val="false"/>
          <w:color w:val="000000"/>
          <w:sz w:val="23"/>
          <w:szCs w:val="23"/>
        </w:rPr>
        <w:t xml:space="preserve">The chain reads: ENERGY → MATTER → FORCE → GRAVITY. Each arrow represents a compositional bridge—a single physical process that produces simultaneous compositions on two domain simplices. The bridge is not metaphorical. In EXP-18, the yield point of mild steel under cyclic loading produces a measurable singularity on both the force simplex and the matter simplex at the same instant.</w:t>
      </w:r>
    </w:p>
    <w:p>
      <w:pPr>
        <w:pStyle w:val="Heading2"/>
        <w:spacing w:after="160" w:before="280"/>
      </w:pPr>
      <w:r>
        <w:rPr>
          <w:rFonts w:ascii="Arial" w:cs="Arial" w:eastAsia="Arial" w:hAnsi="Arial"/>
          <w:b/>
          <w:bCs/>
          <w:color w:val="028090"/>
          <w:sz w:val="26"/>
          <w:szCs w:val="26"/>
        </w:rPr>
        <w:t xml:space="preserve">4.1 The Energy–Matter Bridge (EXP-15)</w:t>
      </w:r>
    </w:p>
    <w:p>
      <w:pPr>
        <w:spacing w:after="160" w:line="320"/>
        <w:jc w:val="left"/>
      </w:pPr>
      <w:r>
        <w:rPr>
          <w:rFonts w:ascii="Georgia" w:cs="Georgia" w:eastAsia="Georgia" w:hAnsi="Georgia"/>
          <w:b w:val="false"/>
          <w:bCs w:val="false"/>
          <w:i w:val="false"/>
          <w:iCs w:val="false"/>
          <w:color w:val="000000"/>
          <w:sz w:val="23"/>
          <w:szCs w:val="23"/>
        </w:rPr>
        <w:t xml:space="preserve">X-ray diffraction decomposes crystal structure into energy carriers (d-spacing modes, intensity distributions, thermal displacement factors). The diffraction pattern is simultaneously a statement about the material’s atomic arrangement and the energy states that arrangement permits. The Higgins Decomposition applied to Bragg peak compositions revealed that energy and matter share a single compositional space when the carriers are properly identified.</w:t>
      </w:r>
    </w:p>
    <w:p>
      <w:pPr>
        <w:pStyle w:val="Heading2"/>
        <w:spacing w:after="160" w:before="280"/>
      </w:pPr>
      <w:r>
        <w:rPr>
          <w:rFonts w:ascii="Arial" w:cs="Arial" w:eastAsia="Arial" w:hAnsi="Arial"/>
          <w:b/>
          <w:bCs/>
          <w:color w:val="028090"/>
          <w:sz w:val="26"/>
          <w:szCs w:val="26"/>
        </w:rPr>
        <w:t xml:space="preserve">4.2 The Force–Gravity Bridge (EXP-16)</w:t>
      </w:r>
    </w:p>
    <w:p>
      <w:pPr>
        <w:spacing w:after="160" w:line="320"/>
        <w:jc w:val="left"/>
      </w:pPr>
      <w:r>
        <w:rPr>
          <w:rFonts w:ascii="Georgia" w:cs="Georgia" w:eastAsia="Georgia" w:hAnsi="Georgia"/>
          <w:b w:val="false"/>
          <w:bCs w:val="false"/>
          <w:i w:val="false"/>
          <w:iCs w:val="false"/>
          <w:color w:val="000000"/>
          <w:sz w:val="23"/>
          <w:szCs w:val="23"/>
        </w:rPr>
        <w:t xml:space="preserve">A spring-mass system under gravity decomposes naturally into four force carriers: gravitational (mg), elastic (kx), dissipative (cv), and inertial (ma). Gravity acts as the constant driver—the carrier that never varies—while the other three redistribute around it as the system oscillates. The twelve-step pipeline revealed that this force composition traces a helix on the complex plane and exhibits structural chaos at every velocity zero-crossing where the damping carrier vanishes.</w:t>
      </w:r>
    </w:p>
    <w:p>
      <w:pPr>
        <w:pStyle w:val="Heading2"/>
        <w:spacing w:after="160" w:before="280"/>
      </w:pPr>
      <w:r>
        <w:rPr>
          <w:rFonts w:ascii="Arial" w:cs="Arial" w:eastAsia="Arial" w:hAnsi="Arial"/>
          <w:b/>
          <w:bCs/>
          <w:color w:val="028090"/>
          <w:sz w:val="26"/>
          <w:szCs w:val="26"/>
        </w:rPr>
        <w:t xml:space="preserve">4.3 The Compositional Uncertainty Principle (EXP-17)</w:t>
      </w:r>
    </w:p>
    <w:p>
      <w:pPr>
        <w:spacing w:after="160" w:line="320"/>
      </w:pPr>
      <w:r>
        <w:rPr>
          <w:rFonts w:ascii="Georgia" w:cs="Georgia" w:eastAsia="Georgia" w:hAnsi="Georgia"/>
          <w:b w:val="false"/>
          <w:bCs w:val="false"/>
          <w:i w:val="false"/>
          <w:iCs w:val="false"/>
          <w:color w:val="000000"/>
          <w:sz w:val="23"/>
          <w:szCs w:val="23"/>
        </w:rPr>
        <w:t xml:space="preserve">EXP-17 asked: does the chaos floor scale with carrier count the way quantum uncertainty scales with </w:t>
      </w:r>
      <w:r>
        <w:rPr>
          <w:rFonts w:ascii="Georgia" w:cs="Georgia" w:eastAsia="Georgia" w:hAnsi="Georgia"/>
          <w:b w:val="false"/>
          <w:bCs w:val="false"/>
          <w:i/>
          <w:iCs/>
          <w:color w:val="000000"/>
          <w:sz w:val="23"/>
          <w:szCs w:val="23"/>
        </w:rPr>
        <w:t xml:space="preserve">ħ</w:t>
      </w:r>
      <w:r>
        <w:rPr>
          <w:rFonts w:ascii="Georgia" w:cs="Georgia" w:eastAsia="Georgia" w:hAnsi="Georgia"/>
          <w:b w:val="false"/>
          <w:bCs w:val="false"/>
          <w:i w:val="false"/>
          <w:iCs w:val="false"/>
          <w:color w:val="000000"/>
          <w:sz w:val="23"/>
          <w:szCs w:val="23"/>
        </w:rPr>
        <w:t xml:space="preserve">? The answer surprised us. The scaling exponent is </w:t>
      </w:r>
      <w:r>
        <w:rPr>
          <w:rFonts w:ascii="Georgia" w:cs="Georgia" w:eastAsia="Georgia" w:hAnsi="Georgia"/>
          <w:b/>
          <w:bCs/>
          <w:i w:val="false"/>
          <w:iCs w:val="false"/>
          <w:color w:val="000000"/>
          <w:sz w:val="23"/>
          <w:szCs w:val="23"/>
        </w:rPr>
        <w:t xml:space="preserve">α = +0.18</w:t>
      </w:r>
      <w:r>
        <w:rPr>
          <w:rFonts w:ascii="Georgia" w:cs="Georgia" w:eastAsia="Georgia" w:hAnsi="Georgia"/>
          <w:b w:val="false"/>
          <w:bCs w:val="false"/>
          <w:i w:val="false"/>
          <w:iCs w:val="false"/>
          <w:color w:val="000000"/>
          <w:sz w:val="23"/>
          <w:szCs w:val="23"/>
        </w:rPr>
        <w:t xml:space="preserve">, meaning the floor does not decrease with more carriers—it is a </w:t>
      </w:r>
      <w:r>
        <w:rPr>
          <w:rFonts w:ascii="Georgia" w:cs="Georgia" w:eastAsia="Georgia" w:hAnsi="Georgia"/>
          <w:b/>
          <w:bCs/>
          <w:i/>
          <w:iCs/>
          <w:color w:val="000000"/>
          <w:sz w:val="23"/>
          <w:szCs w:val="23"/>
        </w:rPr>
        <w:t xml:space="preserve">topological invariant</w:t>
      </w:r>
      <w:r>
        <w:rPr>
          <w:rFonts w:ascii="Georgia" w:cs="Georgia" w:eastAsia="Georgia" w:hAnsi="Georgia"/>
          <w:b w:val="false"/>
          <w:bCs w:val="false"/>
          <w:i w:val="false"/>
          <w:iCs w:val="false"/>
          <w:color w:val="000000"/>
          <w:sz w:val="23"/>
          <w:szCs w:val="23"/>
        </w:rPr>
        <w:t xml:space="preserve"> of the simplex closure operation. The frequency of deviations is set by the physics (velocity zero-crossings); the information resolution of each deviation is set by the carrier count. This is the compositional uncertainty principle: no oscillating composition can pass through a carrier zero-crossing without an irreducible deviation on the simplex.</w:t>
      </w:r>
    </w:p>
    <w:p>
      <w:pPr>
        <w:pStyle w:val="Heading2"/>
        <w:spacing w:after="160" w:before="280"/>
      </w:pPr>
      <w:r>
        <w:rPr>
          <w:rFonts w:ascii="Arial" w:cs="Arial" w:eastAsia="Arial" w:hAnsi="Arial"/>
          <w:b/>
          <w:bCs/>
          <w:color w:val="028090"/>
          <w:sz w:val="26"/>
          <w:szCs w:val="26"/>
        </w:rPr>
        <w:t xml:space="preserve">4.4 The Force–Matter Bridge (EXP-18)</w:t>
      </w:r>
    </w:p>
    <w:p>
      <w:pPr>
        <w:spacing w:after="160" w:line="320"/>
        <w:jc w:val="left"/>
      </w:pPr>
      <w:r>
        <w:rPr>
          <w:rFonts w:ascii="Georgia" w:cs="Georgia" w:eastAsia="Georgia" w:hAnsi="Georgia"/>
          <w:b w:val="false"/>
          <w:bCs w:val="false"/>
          <w:i w:val="false"/>
          <w:iCs w:val="false"/>
          <w:color w:val="000000"/>
          <w:sz w:val="23"/>
          <w:szCs w:val="23"/>
        </w:rPr>
        <w:t xml:space="preserve">Cyclic loading of mild steel (AISI 1020) produces two simultaneous compositions. The force simplex (elastic, plastic, thermal, damage stresses) exhibits 41 EITT deviations with a 3.4% chaos floor. The matter simplex (elastic energy, plastic work, heat, damage energy) exhibits 5 deviations with a 0.4% floor. The asymmetry is the finding: force composition is reversible and turbulent; material composition is irreversible and directional. The yield point is a simultaneous singularity on both simplices—one physical event producing two information-space phase transitions.</w:t>
      </w:r>
    </w:p>
    <w:p>
      <w:pPr>
        <w:spacing w:after="160" w:line="320"/>
        <w:ind w:firstLine="480"/>
        <w:jc w:val="left"/>
      </w:pPr>
      <w:r>
        <w:rPr>
          <w:rFonts w:ascii="Georgia" w:cs="Georgia" w:eastAsia="Georgia" w:hAnsi="Georgia"/>
          <w:b w:val="false"/>
          <w:bCs w:val="false"/>
          <w:i w:val="false"/>
          <w:iCs w:val="false"/>
          <w:color w:val="000000"/>
          <w:sz w:val="23"/>
          <w:szCs w:val="23"/>
        </w:rPr>
        <w:t xml:space="preserve">Seven out of nine yield transitions produce force deviations. The force domain has eight times more deviations than the matter domain. This asymmetry encodes the fundamental distinction between measurement (force, reversible) and state change (matter, irreversible)—a distinction that appears in every physical theory from thermodynamics to quantum mechanics.</w:t>
      </w:r>
    </w:p>
    <w:p>
      <w:r>
        <w:br w:type="page"/>
      </w:r>
    </w:p>
    <w:p>
      <w:pPr>
        <w:pStyle w:val="Heading1"/>
        <w:spacing w:after="200" w:before="360"/>
      </w:pPr>
      <w:r>
        <w:rPr>
          <w:rFonts w:ascii="Arial Black" w:cs="Arial Black" w:eastAsia="Arial Black" w:hAnsi="Arial Black"/>
          <w:b/>
          <w:bCs/>
          <w:color w:val="1E2761"/>
          <w:sz w:val="32"/>
          <w:szCs w:val="32"/>
        </w:rPr>
        <w:t xml:space="preserve">5. The Artifact Question</w:t>
      </w:r>
    </w:p>
    <w:p>
      <w:pPr>
        <w:spacing w:after="160" w:line="320"/>
        <w:jc w:val="left"/>
      </w:pPr>
      <w:r>
        <w:rPr>
          <w:rFonts w:ascii="Georgia" w:cs="Georgia" w:eastAsia="Georgia" w:hAnsi="Georgia"/>
          <w:b w:val="false"/>
          <w:bCs w:val="false"/>
          <w:i w:val="false"/>
          <w:iCs w:val="false"/>
          <w:color w:val="000000"/>
          <w:sz w:val="23"/>
          <w:szCs w:val="23"/>
        </w:rPr>
        <w:t xml:space="preserve">Any claim of irreducible structure must answer the most dangerous question in computational science: did we create this, or did we find it?</w:t>
      </w:r>
    </w:p>
    <w:p>
      <w:pPr>
        <w:spacing w:after="160" w:line="320"/>
        <w:jc w:val="left"/>
      </w:pPr>
      <w:r>
        <w:rPr>
          <w:rFonts w:ascii="Georgia" w:cs="Georgia" w:eastAsia="Georgia" w:hAnsi="Georgia"/>
          <w:b w:val="false"/>
          <w:bCs w:val="false"/>
          <w:i w:val="false"/>
          <w:iCs w:val="false"/>
          <w:color w:val="000000"/>
          <w:sz w:val="23"/>
          <w:szCs w:val="23"/>
        </w:rPr>
        <w:t xml:space="preserve">EXP-17 tested this systematically across three axes:</w:t>
      </w:r>
    </w:p>
    <w:p>
      <w:pPr>
        <w:pStyle w:val="Heading3"/>
        <w:spacing w:after="120" w:before="200"/>
      </w:pPr>
      <w:r>
        <w:rPr>
          <w:rFonts w:ascii="Arial" w:cs="Arial" w:eastAsia="Arial" w:hAnsi="Arial"/>
          <w:b/>
          <w:bCs/>
          <w:color w:val="1E2761"/>
          <w:sz w:val="22"/>
          <w:szCs w:val="22"/>
        </w:rPr>
        <w:t xml:space="preserve">5.1 Integrator Independence</w:t>
      </w:r>
    </w:p>
    <w:p>
      <w:pPr>
        <w:spacing w:after="160" w:line="320"/>
        <w:jc w:val="left"/>
      </w:pPr>
      <w:r>
        <w:rPr>
          <w:rFonts w:ascii="Georgia" w:cs="Georgia" w:eastAsia="Georgia" w:hAnsi="Georgia"/>
          <w:b w:val="false"/>
          <w:bCs w:val="false"/>
          <w:i w:val="false"/>
          <w:iCs w:val="false"/>
          <w:color w:val="000000"/>
          <w:sz w:val="23"/>
          <w:szCs w:val="23"/>
        </w:rPr>
        <w:t xml:space="preserve">The same system (m = 5 kg, k = 200 N/m, c = 2 N·s/m) was simulated with three integrators: fourth-order Runge-Kutta (RK4), second-order midpoint (RK2), and forward Euler. The deviation counts were 114, 113, and 111 respectively—a coefficient of variation of 1.1%. If the structure were a numerical artefact, changing the integrator would change the count dramatically. It does not.</w:t>
      </w:r>
    </w:p>
    <w:p>
      <w:pPr>
        <w:pStyle w:val="Heading3"/>
        <w:spacing w:after="120" w:before="200"/>
      </w:pPr>
      <w:r>
        <w:rPr>
          <w:rFonts w:ascii="Arial" w:cs="Arial" w:eastAsia="Arial" w:hAnsi="Arial"/>
          <w:b/>
          <w:bCs/>
          <w:color w:val="1E2761"/>
          <w:sz w:val="22"/>
          <w:szCs w:val="22"/>
        </w:rPr>
        <w:t xml:space="preserve">5.2 Time Step Independence</w:t>
      </w:r>
    </w:p>
    <w:p>
      <w:pPr>
        <w:spacing w:after="160" w:line="320"/>
        <w:jc w:val="left"/>
      </w:pPr>
      <w:r>
        <w:rPr>
          <w:rFonts w:ascii="Georgia" w:cs="Georgia" w:eastAsia="Georgia" w:hAnsi="Georgia"/>
          <w:b w:val="false"/>
          <w:bCs w:val="false"/>
          <w:i w:val="false"/>
          <w:iCs w:val="false"/>
          <w:color w:val="000000"/>
          <w:sz w:val="23"/>
          <w:szCs w:val="23"/>
        </w:rPr>
        <w:t xml:space="preserve">The same system was simulated at four time steps: 0.5 ms, 1.0 ms, 2.0 ms, and 5.0 ms. All four produced exactly 114 deviations. The coefficient of variation is 0.0%. This is extraordinary. The chaos detection is completely insensitive to temporal discretisation.</w:t>
      </w:r>
    </w:p>
    <w:p>
      <w:pPr>
        <w:pStyle w:val="Heading3"/>
        <w:spacing w:after="120" w:before="200"/>
      </w:pPr>
      <w:r>
        <w:rPr>
          <w:rFonts w:ascii="Arial" w:cs="Arial" w:eastAsia="Arial" w:hAnsi="Arial"/>
          <w:b/>
          <w:bCs/>
          <w:color w:val="1E2761"/>
          <w:sz w:val="22"/>
          <w:szCs w:val="22"/>
        </w:rPr>
        <w:t xml:space="preserve">5.3 Initial Condition Independence</w:t>
      </w:r>
    </w:p>
    <w:p>
      <w:pPr>
        <w:spacing w:after="160" w:line="320"/>
        <w:jc w:val="left"/>
      </w:pPr>
      <w:r>
        <w:rPr>
          <w:rFonts w:ascii="Georgia" w:cs="Georgia" w:eastAsia="Georgia" w:hAnsi="Georgia"/>
          <w:b w:val="false"/>
          <w:bCs w:val="false"/>
          <w:i w:val="false"/>
          <w:iCs w:val="false"/>
          <w:color w:val="000000"/>
          <w:sz w:val="23"/>
          <w:szCs w:val="23"/>
        </w:rPr>
        <w:t xml:space="preserve">Ten trials with randomised initial displacements (x₀ ranging from 0.13 m to 0.58 m) produced deviation counts from 110 to 114, with a mean of 112.2 and coefficient of variation of 1.2%.</w:t>
      </w:r>
    </w:p>
    <w:p>
      <w:pPr>
        <w:spacing w:after="160" w:line="320"/>
        <w:ind w:firstLine="480"/>
        <w:jc w:val="left"/>
      </w:pPr>
      <w:r>
        <w:rPr>
          <w:rFonts w:ascii="Georgia" w:cs="Georgia" w:eastAsia="Georgia" w:hAnsi="Georgia"/>
          <w:b/>
          <w:bCs/>
          <w:i w:val="false"/>
          <w:iCs w:val="false"/>
          <w:color w:val="000000"/>
          <w:sz w:val="23"/>
          <w:szCs w:val="23"/>
        </w:rPr>
        <w:t xml:space="preserve">The verdict is unambiguous: the compositional chaos floor is geometric, not artefactual. It arises from the topology of the simplex closure operation at carrier zero-crossings and is invariant to every computational parameter tested.</w:t>
      </w:r>
    </w:p>
    <w:p>
      <w:r>
        <w:br w:type="page"/>
      </w:r>
    </w:p>
    <w:p>
      <w:pPr>
        <w:pStyle w:val="Heading1"/>
        <w:spacing w:after="200" w:before="360"/>
      </w:pPr>
      <w:r>
        <w:rPr>
          <w:rFonts w:ascii="Arial Black" w:cs="Arial Black" w:eastAsia="Arial Black" w:hAnsi="Arial Black"/>
          <w:b/>
          <w:bCs/>
          <w:color w:val="1E2761"/>
          <w:sz w:val="32"/>
          <w:szCs w:val="32"/>
        </w:rPr>
        <w:t xml:space="preserve">6. Three Noise Floors and a Deeper Principle</w:t>
      </w:r>
    </w:p>
    <w:p>
      <w:pPr>
        <w:spacing w:after="160" w:line="320"/>
        <w:jc w:val="left"/>
      </w:pPr>
      <w:r>
        <w:rPr>
          <w:rFonts w:ascii="Georgia" w:cs="Georgia" w:eastAsia="Georgia" w:hAnsi="Georgia"/>
          <w:b w:val="false"/>
          <w:bCs w:val="false"/>
          <w:i w:val="false"/>
          <w:iCs w:val="false"/>
          <w:color w:val="000000"/>
          <w:sz w:val="23"/>
          <w:szCs w:val="23"/>
        </w:rPr>
        <w:t xml:space="preserve">The compositional uncertainty principle invites comparison with two established irreducibility results in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24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Quantum</w:t>
            </w:r>
          </w:p>
        </w:tc>
        <w:tc>
          <w:tcPr>
            <w:tcW w:type="dxa" w:w="24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Thermodynamic</w:t>
            </w:r>
          </w:p>
        </w:tc>
        <w:tc>
          <w:tcPr>
            <w:tcW w:type="dxa" w:w="236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0"/>
                <w:szCs w:val="20"/>
              </w:rPr>
              <w:t xml:space="preserve">Compositional</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bCs/>
                <w:sz w:val="20"/>
                <w:szCs w:val="20"/>
              </w:rPr>
              <w:t xml:space="preserve">Floor</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val="false"/>
                <w:bCs w:val="false"/>
                <w:sz w:val="20"/>
                <w:szCs w:val="20"/>
              </w:rPr>
              <w:t xml:space="preserve">ħω/2</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val="false"/>
                <w:bCs w:val="false"/>
                <w:sz w:val="20"/>
                <w:szCs w:val="20"/>
              </w:rPr>
              <w:t xml:space="preserve">Residual entropy</w:t>
            </w:r>
          </w:p>
        </w:tc>
        <w:tc>
          <w:tcPr>
            <w:tcW w:type="dxa" w:w="2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val="false"/>
                <w:bCs w:val="false"/>
                <w:sz w:val="20"/>
                <w:szCs w:val="20"/>
              </w:rPr>
              <w:t xml:space="preserve">Simplex singularity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bCs/>
                <w:sz w:val="20"/>
                <w:szCs w:val="20"/>
              </w:rPr>
              <w:t xml:space="preserve">Origin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Uncertainty principle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Third law</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CLR divergence at zero</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bCs/>
                <w:sz w:val="20"/>
                <w:szCs w:val="20"/>
              </w:rPr>
              <w:t xml:space="preserve">Invariant to</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val="false"/>
                <w:bCs w:val="false"/>
                <w:sz w:val="20"/>
                <w:szCs w:val="20"/>
              </w:rPr>
              <w:t xml:space="preserve">Measurement basis</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val="false"/>
                <w:bCs w:val="false"/>
                <w:sz w:val="20"/>
                <w:szCs w:val="20"/>
              </w:rPr>
              <w:t xml:space="preserve">Cooling method</w:t>
            </w:r>
          </w:p>
        </w:tc>
        <w:tc>
          <w:tcPr>
            <w:tcW w:type="dxa" w:w="2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val="false"/>
                <w:bCs w:val="false"/>
                <w:sz w:val="20"/>
                <w:szCs w:val="20"/>
              </w:rPr>
              <w:t xml:space="preserve">Integrator, dt, 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bCs/>
                <w:sz w:val="20"/>
                <w:szCs w:val="20"/>
              </w:rPr>
              <w:t xml:space="preserve">Scales with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ħ (Planck)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k_B (Boltzmann)</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b w:val="false"/>
                <w:bCs w:val="false"/>
                <w:sz w:val="20"/>
                <w:szCs w:val="20"/>
              </w:rPr>
              <w:t xml:space="preserve">Topology (N-invariant)</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bCs/>
                <w:sz w:val="20"/>
                <w:szCs w:val="20"/>
              </w:rPr>
              <w:t xml:space="preserve">Eliminable?</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val="false"/>
                <w:bCs w:val="false"/>
                <w:sz w:val="20"/>
                <w:szCs w:val="20"/>
              </w:rPr>
              <w:t xml:space="preserve">No</w:t>
            </w:r>
          </w:p>
        </w:tc>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val="false"/>
                <w:bCs w:val="false"/>
                <w:sz w:val="20"/>
                <w:szCs w:val="20"/>
              </w:rPr>
              <w:t xml:space="preserve">No</w:t>
            </w:r>
          </w:p>
        </w:tc>
        <w:tc>
          <w:tcPr>
            <w:tcW w:type="dxa" w:w="2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b w:val="false"/>
                <w:bCs w:val="false"/>
                <w:sz w:val="20"/>
                <w:szCs w:val="20"/>
              </w:rPr>
              <w:t xml:space="preserve">No</w:t>
            </w:r>
          </w:p>
        </w:tc>
      </w:tr>
    </w:tbl>
    <w:p>
      <w:pPr>
        <w:spacing w:after="200"/>
      </w:pPr>
    </w:p>
    <w:p>
      <w:pPr>
        <w:spacing w:after="160" w:line="320"/>
        <w:jc w:val="left"/>
      </w:pPr>
      <w:r>
        <w:rPr>
          <w:rFonts w:ascii="Georgia" w:cs="Georgia" w:eastAsia="Georgia" w:hAnsi="Georgia"/>
          <w:b w:val="false"/>
          <w:bCs w:val="false"/>
          <w:i w:val="false"/>
          <w:iCs w:val="false"/>
          <w:color w:val="000000"/>
          <w:sz w:val="23"/>
          <w:szCs w:val="23"/>
        </w:rPr>
        <w:t xml:space="preserve">All three floors share a common structure: a constrained mathematical space (Hilbert space, phase space, the simplex) that forces an irreducible minimum deviation when the system passes through certain critical points. In quantum mechanics, the critical point is a conjugate measurement. In thermodynamics, it is absolute zero. In compositional analysis, it is a carrier zero-crossing.</w:t>
      </w:r>
    </w:p>
    <w:p>
      <w:pPr>
        <w:spacing w:after="160" w:line="320"/>
        <w:ind w:firstLine="480"/>
        <w:jc w:val="left"/>
      </w:pPr>
      <w:r>
        <w:rPr>
          <w:rFonts w:ascii="Georgia" w:cs="Georgia" w:eastAsia="Georgia" w:hAnsi="Georgia"/>
          <w:b w:val="false"/>
          <w:bCs w:val="false"/>
          <w:i w:val="false"/>
          <w:iCs w:val="false"/>
          <w:color w:val="000000"/>
          <w:sz w:val="23"/>
          <w:szCs w:val="23"/>
        </w:rPr>
        <w:t xml:space="preserve">We do not claim these three are identical—they operate in different mathematical spaces with different physical consequences. But we do claim they are instances of a deeper principle about constrained information spaces: that constraint itself generates irreducible structure. The simplex, like Hilbert space, has a geometry that no trajectory can avoid.</w:t>
      </w:r>
    </w:p>
    <w:p>
      <w:r>
        <w:br w:type="page"/>
      </w:r>
    </w:p>
    <w:p>
      <w:pPr>
        <w:pStyle w:val="Heading1"/>
        <w:spacing w:after="200" w:before="360"/>
      </w:pPr>
      <w:r>
        <w:rPr>
          <w:rFonts w:ascii="Arial Black" w:cs="Arial Black" w:eastAsia="Arial Black" w:hAnsi="Arial Black"/>
          <w:b/>
          <w:bCs/>
          <w:color w:val="1E2761"/>
          <w:sz w:val="32"/>
          <w:szCs w:val="32"/>
        </w:rPr>
        <w:t xml:space="preserve">7. Information Mechanics as a Framework</w:t>
      </w:r>
    </w:p>
    <w:p>
      <w:pPr>
        <w:spacing w:after="160" w:line="320"/>
        <w:jc w:val="left"/>
      </w:pPr>
      <w:r>
        <w:rPr>
          <w:rFonts w:ascii="Georgia" w:cs="Georgia" w:eastAsia="Georgia" w:hAnsi="Georgia"/>
          <w:b w:val="false"/>
          <w:bCs w:val="false"/>
          <w:i w:val="false"/>
          <w:iCs w:val="false"/>
          <w:color w:val="000000"/>
          <w:sz w:val="23"/>
          <w:szCs w:val="23"/>
        </w:rPr>
        <w:t xml:space="preserve">We are now in a position to state what Information Mechanics is and what it offers.</w:t>
      </w:r>
    </w:p>
    <w:p>
      <w:pPr>
        <w:spacing w:after="160" w:line="320"/>
        <w:jc w:val="left"/>
      </w:pPr>
      <w:r>
        <w:rPr>
          <w:rFonts w:ascii="Georgia" w:cs="Georgia" w:eastAsia="Georgia" w:hAnsi="Georgia"/>
          <w:b w:val="false"/>
          <w:bCs w:val="false"/>
          <w:i w:val="false"/>
          <w:iCs w:val="false"/>
          <w:color w:val="000000"/>
          <w:sz w:val="23"/>
          <w:szCs w:val="23"/>
        </w:rPr>
        <w:t xml:space="preserve">Information Mechanics is the study of physical systems through their compositional decompositions. Its central claim is that the act of decomposition—choosing carriers, closing to the simplex, transforming via CLR—is not merely a data analysis step but a physical measurement that reveals the information geometry of the system.</w:t>
      </w:r>
    </w:p>
    <w:p>
      <w:pPr>
        <w:spacing w:after="160" w:line="320"/>
        <w:jc w:val="left"/>
      </w:pPr>
      <w:r>
        <w:rPr>
          <w:rFonts w:ascii="Georgia" w:cs="Georgia" w:eastAsia="Georgia" w:hAnsi="Georgia"/>
          <w:b w:val="false"/>
          <w:bCs w:val="false"/>
          <w:i w:val="false"/>
          <w:iCs w:val="false"/>
          <w:color w:val="000000"/>
          <w:sz w:val="23"/>
          <w:szCs w:val="23"/>
        </w:rPr>
        <w:t xml:space="preserve">The framework rests on three pillars:</w:t>
      </w:r>
    </w:p>
    <w:p>
      <w:pPr>
        <w:pStyle w:val="Heading3"/>
        <w:spacing w:after="120" w:before="200"/>
      </w:pPr>
      <w:r>
        <w:rPr>
          <w:rFonts w:ascii="Arial" w:cs="Arial" w:eastAsia="Arial" w:hAnsi="Arial"/>
          <w:b/>
          <w:bCs/>
          <w:color w:val="1E2761"/>
          <w:sz w:val="22"/>
          <w:szCs w:val="22"/>
        </w:rPr>
        <w:t xml:space="preserve">Pillar 1: The Decomposition Instrument</w:t>
      </w:r>
    </w:p>
    <w:p>
      <w:pPr>
        <w:spacing w:after="160" w:line="320"/>
        <w:jc w:val="left"/>
      </w:pPr>
      <w:r>
        <w:rPr>
          <w:rFonts w:ascii="Georgia" w:cs="Georgia" w:eastAsia="Georgia" w:hAnsi="Georgia"/>
          <w:b w:val="false"/>
          <w:bCs w:val="false"/>
          <w:i w:val="false"/>
          <w:iCs w:val="false"/>
          <w:color w:val="000000"/>
          <w:sz w:val="23"/>
          <w:szCs w:val="23"/>
        </w:rPr>
        <w:t xml:space="preserve">The twelve-step Higgins Decomposition is a universal instrument. It does not depend on the physics domain, the type of carrier, or the scale of the system. It requires only that the system can be decomposed into parts that sum to a whole. This is a weaker requirement than any specific physical theory—it is a requirement about description, not about dynamics.</w:t>
      </w:r>
    </w:p>
    <w:p>
      <w:pPr>
        <w:pStyle w:val="Heading3"/>
        <w:spacing w:after="120" w:before="200"/>
      </w:pPr>
      <w:r>
        <w:rPr>
          <w:rFonts w:ascii="Arial" w:cs="Arial" w:eastAsia="Arial" w:hAnsi="Arial"/>
          <w:b/>
          <w:bCs/>
          <w:color w:val="1E2761"/>
          <w:sz w:val="22"/>
          <w:szCs w:val="22"/>
        </w:rPr>
        <w:t xml:space="preserve">Pillar 2: The Irreducible Floor</w:t>
      </w:r>
    </w:p>
    <w:p>
      <w:pPr>
        <w:spacing w:after="160" w:line="320"/>
        <w:jc w:val="left"/>
      </w:pPr>
      <w:r>
        <w:rPr>
          <w:rFonts w:ascii="Georgia" w:cs="Georgia" w:eastAsia="Georgia" w:hAnsi="Georgia"/>
          <w:b w:val="false"/>
          <w:bCs w:val="false"/>
          <w:i w:val="false"/>
          <w:iCs w:val="false"/>
          <w:color w:val="000000"/>
          <w:sz w:val="23"/>
          <w:szCs w:val="23"/>
        </w:rPr>
        <w:t xml:space="preserve">Every oscillating system that passes through carrier zero-crossings will exhibit compositional deviations that cannot be eliminated. This floor is topological: it depends on the structure of the simplex (closure constraint, CLR divergence at zero) rather than on any parameter of the physical system. It is the compositional analogue of the quantum noise floor and the thermodynamic residual entropy.</w:t>
      </w:r>
    </w:p>
    <w:p>
      <w:pPr>
        <w:pStyle w:val="Heading3"/>
        <w:spacing w:after="120" w:before="200"/>
      </w:pPr>
      <w:r>
        <w:rPr>
          <w:rFonts w:ascii="Arial" w:cs="Arial" w:eastAsia="Arial" w:hAnsi="Arial"/>
          <w:b/>
          <w:bCs/>
          <w:color w:val="1E2761"/>
          <w:sz w:val="22"/>
          <w:szCs w:val="22"/>
        </w:rPr>
        <w:t xml:space="preserve">Pillar 3: The Domain Chain</w:t>
      </w:r>
    </w:p>
    <w:p>
      <w:pPr>
        <w:spacing w:after="160" w:line="320"/>
        <w:jc w:val="left"/>
      </w:pPr>
      <w:r>
        <w:rPr>
          <w:rFonts w:ascii="Georgia" w:cs="Georgia" w:eastAsia="Georgia" w:hAnsi="Georgia"/>
          <w:b w:val="false"/>
          <w:bCs w:val="false"/>
          <w:i w:val="false"/>
          <w:iCs w:val="false"/>
          <w:color w:val="000000"/>
          <w:sz w:val="23"/>
          <w:szCs w:val="23"/>
        </w:rPr>
        <w:t xml:space="preserve">Energy, matter, force, and gravity are not isolated categories—they are compositional perspectives on the same underlying processes. The chain ENERGY → MATTER → FORCE → GRAVITY is traversable because each domain bridge is a physical process that produces simultaneous compositions on two simplices. The bridge is the yield point, the diffraction peak, the zero-crossing—any moment where one domain’s carriers reorganise and another domain’s carriers must respond.</w:t>
      </w:r>
    </w:p>
    <w:p>
      <w:r>
        <w:br w:type="page"/>
      </w:r>
    </w:p>
    <w:p>
      <w:pPr>
        <w:pStyle w:val="Heading1"/>
        <w:spacing w:after="200" w:before="360"/>
      </w:pPr>
      <w:r>
        <w:rPr>
          <w:rFonts w:ascii="Arial Black" w:cs="Arial Black" w:eastAsia="Arial Black" w:hAnsi="Arial Black"/>
          <w:b/>
          <w:bCs/>
          <w:color w:val="1E2761"/>
          <w:sz w:val="32"/>
          <w:szCs w:val="32"/>
        </w:rPr>
        <w:t xml:space="preserve">8. Implications and Future Work</w:t>
      </w:r>
    </w:p>
    <w:p>
      <w:pPr>
        <w:pStyle w:val="Heading2"/>
        <w:spacing w:after="160" w:before="280"/>
      </w:pPr>
      <w:r>
        <w:rPr>
          <w:rFonts w:ascii="Arial" w:cs="Arial" w:eastAsia="Arial" w:hAnsi="Arial"/>
          <w:b/>
          <w:bCs/>
          <w:color w:val="028090"/>
          <w:sz w:val="26"/>
          <w:szCs w:val="26"/>
        </w:rPr>
        <w:t xml:space="preserve">8.1 For Compositional Data Analysis</w:t>
      </w:r>
    </w:p>
    <w:p>
      <w:pPr>
        <w:spacing w:after="160" w:line="320"/>
        <w:jc w:val="left"/>
      </w:pPr>
      <w:r>
        <w:rPr>
          <w:rFonts w:ascii="Georgia" w:cs="Georgia" w:eastAsia="Georgia" w:hAnsi="Georgia"/>
          <w:b w:val="false"/>
          <w:bCs w:val="false"/>
          <w:i w:val="false"/>
          <w:iCs w:val="false"/>
          <w:color w:val="000000"/>
          <w:sz w:val="23"/>
          <w:szCs w:val="23"/>
        </w:rPr>
        <w:t xml:space="preserve">The CoDa community has traditionally treated compositions as data to be analysed. Information Mechanics suggests they are also instruments to be wielded. The choice of decomposition is not arbitrary—it determines the information resolution at structural singularities. More carriers do not reduce the chaos floor (it is topologically invariant), but they increase the dimensionality of information captured at each deviation event. The analyst’s decomposition choice is analogous to the physicist’s choice of measurement basis.</w:t>
      </w:r>
    </w:p>
    <w:p>
      <w:pPr>
        <w:pStyle w:val="Heading2"/>
        <w:spacing w:after="160" w:before="280"/>
      </w:pPr>
      <w:r>
        <w:rPr>
          <w:rFonts w:ascii="Arial" w:cs="Arial" w:eastAsia="Arial" w:hAnsi="Arial"/>
          <w:b/>
          <w:bCs/>
          <w:color w:val="028090"/>
          <w:sz w:val="26"/>
          <w:szCs w:val="26"/>
        </w:rPr>
        <w:t xml:space="preserve">8.2 For Physics</w:t>
      </w:r>
    </w:p>
    <w:p>
      <w:pPr>
        <w:spacing w:after="160" w:line="320"/>
        <w:jc w:val="left"/>
      </w:pPr>
      <w:r>
        <w:rPr>
          <w:rFonts w:ascii="Georgia" w:cs="Georgia" w:eastAsia="Georgia" w:hAnsi="Georgia"/>
          <w:b w:val="false"/>
          <w:bCs w:val="false"/>
          <w:i w:val="false"/>
          <w:iCs w:val="false"/>
          <w:color w:val="000000"/>
          <w:sz w:val="23"/>
          <w:szCs w:val="23"/>
        </w:rPr>
        <w:t xml:space="preserve">The force-matter asymmetry discovered in EXP-18 encodes the distinction between reversible measurement and irreversible state change in purely compositional terms. If this asymmetry generalises—if force compositions are always more turbulent than material compositions in the same process—then compositional analysis provides a new diagnostic for the arrow of time.</w:t>
      </w:r>
    </w:p>
    <w:p>
      <w:pPr>
        <w:pStyle w:val="Heading2"/>
        <w:spacing w:after="160" w:before="280"/>
      </w:pPr>
      <w:r>
        <w:rPr>
          <w:rFonts w:ascii="Arial" w:cs="Arial" w:eastAsia="Arial" w:hAnsi="Arial"/>
          <w:b/>
          <w:bCs/>
          <w:color w:val="028090"/>
          <w:sz w:val="26"/>
          <w:szCs w:val="26"/>
        </w:rPr>
        <w:t xml:space="preserve">8.3 For Information Theory</w:t>
      </w:r>
    </w:p>
    <w:p>
      <w:pPr>
        <w:spacing w:after="160" w:line="320"/>
        <w:jc w:val="left"/>
      </w:pPr>
      <w:r>
        <w:rPr>
          <w:rFonts w:ascii="Georgia" w:cs="Georgia" w:eastAsia="Georgia" w:hAnsi="Georgia"/>
          <w:b w:val="false"/>
          <w:bCs w:val="false"/>
          <w:i w:val="false"/>
          <w:iCs w:val="false"/>
          <w:color w:val="000000"/>
          <w:sz w:val="23"/>
          <w:szCs w:val="23"/>
        </w:rPr>
        <w:t xml:space="preserve">Fisher information is elevated at compositional deviation events. This suggests that the simplex singularities are not merely geometrical curiosities but are moments of maximum information transfer between carriers. The connection to Fisher geometry on the simplex opens a path toward deriving the compositional floor from first principles of information geometry, potentially unifying it with the quantum and thermodynamic floors.</w:t>
      </w:r>
    </w:p>
    <w:p>
      <w:pPr>
        <w:pStyle w:val="Heading2"/>
        <w:spacing w:after="160" w:before="280"/>
      </w:pPr>
      <w:r>
        <w:rPr>
          <w:rFonts w:ascii="Arial" w:cs="Arial" w:eastAsia="Arial" w:hAnsi="Arial"/>
          <w:b/>
          <w:bCs/>
          <w:color w:val="028090"/>
          <w:sz w:val="26"/>
          <w:szCs w:val="26"/>
        </w:rPr>
        <w:t xml:space="preserve">8.4 Proposed Experiment: EXP-19</w:t>
      </w:r>
    </w:p>
    <w:p>
      <w:pPr>
        <w:spacing w:after="160" w:line="320"/>
        <w:jc w:val="left"/>
      </w:pPr>
      <w:r>
        <w:rPr>
          <w:rFonts w:ascii="Georgia" w:cs="Georgia" w:eastAsia="Georgia" w:hAnsi="Georgia"/>
          <w:b w:val="false"/>
          <w:bCs w:val="false"/>
          <w:i w:val="false"/>
          <w:iCs w:val="false"/>
          <w:color w:val="000000"/>
          <w:sz w:val="23"/>
          <w:szCs w:val="23"/>
        </w:rPr>
        <w:t xml:space="preserve">The next experiment should test whether the force-matter asymmetry (8:1 deviation ratio in steel) is universal or material-specific. Candidates include brittle ceramics (where plasticity is minimal), polymers (where viscoelastic effects blur the elastic-plastic boundary), and biological tissue (where the carrier decomposition itself is debatable). If the asymmetry persists across material classes, it is a statement about the simplex, not about metallurgy.</w:t>
      </w:r>
    </w:p>
    <w:p>
      <w:r>
        <w:br w:type="page"/>
      </w:r>
    </w:p>
    <w:p>
      <w:pPr>
        <w:pStyle w:val="Heading1"/>
        <w:spacing w:after="200" w:before="360"/>
      </w:pPr>
      <w:r>
        <w:rPr>
          <w:rFonts w:ascii="Arial Black" w:cs="Arial Black" w:eastAsia="Arial Black" w:hAnsi="Arial Black"/>
          <w:b/>
          <w:bCs/>
          <w:color w:val="1E2761"/>
          <w:sz w:val="32"/>
          <w:szCs w:val="32"/>
        </w:rPr>
        <w:t xml:space="preserve">9. Conclusion</w:t>
      </w:r>
    </w:p>
    <w:p>
      <w:pPr>
        <w:spacing w:after="160" w:line="320"/>
        <w:jc w:val="left"/>
      </w:pPr>
      <w:r>
        <w:rPr>
          <w:rFonts w:ascii="Georgia" w:cs="Georgia" w:eastAsia="Georgia" w:hAnsi="Georgia"/>
          <w:b w:val="false"/>
          <w:bCs w:val="false"/>
          <w:i w:val="false"/>
          <w:iCs w:val="false"/>
          <w:color w:val="000000"/>
          <w:sz w:val="23"/>
          <w:szCs w:val="23"/>
        </w:rPr>
        <w:t xml:space="preserve">We set out to test whether the compositional chaos floor scales with carrier count. We found something more interesting: it does not scale at all. The floor is a topological invariant of the simplex, not a statistical property of the carriers. We then bridged force and matter through stress-strain analysis and discovered that force compositions are reversible and chaotic while material compositions are irreversible and directional—the same physical process producing two fundamentally different information geometries.</w:t>
      </w:r>
    </w:p>
    <w:p>
      <w:pPr>
        <w:spacing w:after="160" w:line="320"/>
        <w:jc w:val="left"/>
      </w:pPr>
      <w:r>
        <w:rPr>
          <w:rFonts w:ascii="Georgia" w:cs="Georgia" w:eastAsia="Georgia" w:hAnsi="Georgia"/>
          <w:b w:val="false"/>
          <w:bCs w:val="false"/>
          <w:i w:val="false"/>
          <w:iCs w:val="false"/>
          <w:color w:val="000000"/>
          <w:sz w:val="23"/>
          <w:szCs w:val="23"/>
        </w:rPr>
        <w:t xml:space="preserve">These findings, combined with the full domain chain established across eighteen experiments, constitute Information Mechanics: a framework for reading the compositional anatomy of any constrained physical system.</w:t>
      </w:r>
    </w:p>
    <w:p>
      <w:pPr>
        <w:spacing w:after="160" w:line="320"/>
        <w:jc w:val="left"/>
      </w:pPr>
      <w:r>
        <w:rPr>
          <w:rFonts w:ascii="Georgia" w:cs="Georgia" w:eastAsia="Georgia" w:hAnsi="Georgia"/>
          <w:b w:val="false"/>
          <w:bCs w:val="false"/>
          <w:i w:val="false"/>
          <w:iCs w:val="false"/>
          <w:color w:val="000000"/>
          <w:sz w:val="23"/>
          <w:szCs w:val="23"/>
        </w:rPr>
        <w:t xml:space="preserve">The Higgins Decomposition is the instrument. The simplex is the stage. The irreducible floor is the discovery.</w:t>
      </w:r>
    </w:p>
    <w:p>
      <w:pPr>
        <w:spacing w:after="200"/>
      </w:pPr>
    </w:p>
    <w:p>
      <w:pPr>
        <w:spacing w:after="160" w:line="320"/>
        <w:jc w:val="center"/>
      </w:pPr>
      <w:r>
        <w:rPr>
          <w:rFonts w:ascii="Georgia" w:cs="Georgia" w:eastAsia="Georgia" w:hAnsi="Georgia"/>
          <w:b w:val="false"/>
          <w:bCs w:val="false"/>
          <w:i/>
          <w:iCs/>
          <w:color w:val="028090"/>
          <w:sz w:val="23"/>
          <w:szCs w:val="23"/>
        </w:rPr>
        <w:t xml:space="preserve">The composition of decomposition instruments is itself a composition—and it decomposes beautifully.</w:t>
      </w:r>
    </w:p>
    <w:p>
      <w:r>
        <w:br w:type="page"/>
      </w:r>
    </w:p>
    <w:p>
      <w:pPr>
        <w:pStyle w:val="Heading1"/>
        <w:spacing w:after="200" w:before="360"/>
      </w:pPr>
      <w:r>
        <w:rPr>
          <w:rFonts w:ascii="Arial Black" w:cs="Arial Black" w:eastAsia="Arial Black" w:hAnsi="Arial Black"/>
          <w:b/>
          <w:bCs/>
          <w:color w:val="1E2761"/>
          <w:sz w:val="32"/>
          <w:szCs w:val="32"/>
        </w:rPr>
        <w:t xml:space="preserve">10. Experimental Inventory</w:t>
      </w:r>
    </w:p>
    <w:p>
      <w:pPr>
        <w:spacing w:after="160" w:line="320"/>
        <w:jc w:val="left"/>
      </w:pPr>
      <w:r>
        <w:rPr>
          <w:rFonts w:ascii="Georgia" w:cs="Georgia" w:eastAsia="Georgia" w:hAnsi="Georgia"/>
          <w:b w:val="false"/>
          <w:bCs w:val="false"/>
          <w:i w:val="false"/>
          <w:iCs w:val="false"/>
          <w:color w:val="000000"/>
          <w:sz w:val="23"/>
          <w:szCs w:val="23"/>
        </w:rPr>
        <w:t xml:space="preserve">The following experiments from the HUF programme are referenced in this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2500"/>
        <w:gridCol w:w="2500"/>
      </w:tblGrid>
      <w:tr>
        <w:tc>
          <w:tcPr>
            <w:tcW w:type="dxa" w:w="12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18"/>
                <w:szCs w:val="18"/>
              </w:rPr>
              <w:t xml:space="preserve">Experiment</w:t>
            </w:r>
          </w:p>
        </w:tc>
        <w:tc>
          <w:tcPr>
            <w:tcW w:type="dxa" w:w="316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18"/>
                <w:szCs w:val="18"/>
              </w:rPr>
              <w:t xml:space="preserve">Title</w:t>
            </w:r>
          </w:p>
        </w:tc>
        <w:tc>
          <w:tcPr>
            <w:tcW w:type="dxa" w:w="25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25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18"/>
                <w:szCs w:val="18"/>
              </w:rPr>
              <w:t xml:space="preserve">Key Finding</w:t>
            </w:r>
          </w:p>
        </w:tc>
      </w:tr>
      <w:tr>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18"/>
                <w:szCs w:val="18"/>
              </w:rPr>
              <w:t xml:space="preserve">EXP-15</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18"/>
                <w:szCs w:val="18"/>
              </w:rPr>
              <w:t xml:space="preserve">X-ray Crystallography</w:t>
            </w:r>
          </w:p>
        </w:tc>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18"/>
                <w:szCs w:val="18"/>
              </w:rPr>
              <w:t xml:space="preserve">ENERGY / MATTER</w:t>
            </w:r>
          </w:p>
        </w:tc>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18"/>
                <w:szCs w:val="18"/>
              </w:rPr>
              <w:t xml:space="preserve">Bragg peak composition reveals energy-matter bridge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18"/>
                <w:szCs w:val="18"/>
              </w:rPr>
              <w:t xml:space="preserve">EXP-16</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18"/>
                <w:szCs w:val="18"/>
              </w:rPr>
              <w:t xml:space="preserve">Spring-Mass Force Composition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18"/>
                <w:szCs w:val="18"/>
              </w:rPr>
              <w:t xml:space="preserve">FORCE / GRAVITY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18"/>
                <w:szCs w:val="18"/>
              </w:rPr>
              <w:t xml:space="preserve">Structural chaos at velocity zero-crossings; 3D helix; EITT detection</w:t>
            </w:r>
          </w:p>
        </w:tc>
      </w:tr>
      <w:tr>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18"/>
                <w:szCs w:val="18"/>
              </w:rPr>
              <w:t xml:space="preserve">EXP-17</w:t>
            </w:r>
          </w:p>
        </w:tc>
        <w:tc>
          <w:tcPr>
            <w:tcW w:type="dxa" w:w="3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18"/>
                <w:szCs w:val="18"/>
              </w:rPr>
              <w:t xml:space="preserve">Compositional Uncertainty Principle</w:t>
            </w:r>
          </w:p>
        </w:tc>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18"/>
                <w:szCs w:val="18"/>
              </w:rPr>
              <w:t xml:space="preserve">MECHANICS</w:t>
            </w:r>
          </w:p>
        </w:tc>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Georgia" w:cs="Georgia" w:eastAsia="Georgia" w:hAnsi="Georgia"/>
                <w:sz w:val="18"/>
                <w:szCs w:val="18"/>
              </w:rPr>
              <w:t xml:space="preserve">Floor is topological invariant (α = +0.18); artifact-free; Fisher info elevated at deviations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18"/>
                <w:szCs w:val="18"/>
              </w:rPr>
              <w:t xml:space="preserve">EXP-18</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18"/>
                <w:szCs w:val="18"/>
              </w:rPr>
              <w:t xml:space="preserve">Force-Matter Bridge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18"/>
                <w:szCs w:val="18"/>
              </w:rPr>
              <w:t xml:space="preserve">FORCE / MATTER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18"/>
                <w:szCs w:val="18"/>
              </w:rPr>
              <w:t xml:space="preserve">Dual simplex; yield point as simultaneous singularity; 8:1 force-matter asymmetry</w:t>
            </w:r>
          </w:p>
        </w:tc>
      </w:tr>
    </w:tbl>
    <w:p>
      <w:pPr>
        <w:spacing w:after="200"/>
      </w:pPr>
    </w:p>
    <w:p>
      <w:pPr>
        <w:spacing w:after="160" w:line="320"/>
        <w:jc w:val="left"/>
      </w:pPr>
      <w:r>
        <w:rPr>
          <w:rFonts w:ascii="Georgia" w:cs="Georgia" w:eastAsia="Georgia" w:hAnsi="Georgia"/>
          <w:b w:val="false"/>
          <w:bCs w:val="false"/>
          <w:i w:val="false"/>
          <w:iCs w:val="false"/>
          <w:color w:val="000000"/>
          <w:sz w:val="23"/>
          <w:szCs w:val="23"/>
        </w:rPr>
        <w:t xml:space="preserve">All experimental code, diagrams, results JSON files, and the interactive HTML simulator are available in the HUF repository under codawork2026/experiments/.</w:t>
      </w:r>
    </w:p>
    <w:p>
      <w:pPr>
        <w:spacing w:after="300"/>
      </w:pPr>
    </w:p>
    <w:p>
      <w:pPr>
        <w:pBdr>
          <w:top w:val="single" w:color="028090" w:sz="4" w:space="8"/>
        </w:pBdr>
        <w:spacing w:after="200" w:before="300"/>
        <w:jc w:val="center"/>
      </w:pPr>
      <w:r>
        <w:rPr>
          <w:rFonts w:ascii="Arial" w:cs="Arial" w:eastAsia="Arial" w:hAnsi="Arial"/>
          <w:i/>
          <w:iCs/>
          <w:color w:val="028090"/>
          <w:sz w:val="22"/>
          <w:szCs w:val="22"/>
        </w:rPr>
        <w:t xml:space="preserve">End of Declaration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Georgia" w:cs="Georgia" w:eastAsia="Georgia" w:hAnsi="Georgia"/>
          <w:sz w:val="18"/>
          <w:szCs w:val="18"/>
        </w:rPr>
        <w:t xml:space="preserve">Aitchison, J. (1986). The Statistical Analysis of Compositional Data. Chapman &amp; Hall.</w:t>
      </w:r>
    </w:p>
  </w:footnote>
  <w:footnote w:id="2">
    <w:p>
      <w:r>
        <w:rPr>
          <w:rStyle w:val="FootnoteReference"/>
        </w:rPr>
        <w:footnoteRef/>
      </w:r>
      <w:r>
        <w:rPr>
          <w:rFonts w:ascii="Georgia" w:cs="Georgia" w:eastAsia="Georgia" w:hAnsi="Georgia"/>
          <w:sz w:val="18"/>
          <w:szCs w:val="18"/>
        </w:rPr>
        <w:t xml:space="preserve">The CLR (centred log-ratio) transform maps compositions from the simplex to Euclidean space: clr(x) = ln(x_i / g(x)) where g(x) is the geometric mean.</w:t>
      </w:r>
    </w:p>
  </w:footnote>
  <w:footnote w:id="3">
    <w:p>
      <w:r>
        <w:rPr>
          <w:rStyle w:val="FootnoteReference"/>
        </w:rPr>
        <w:footnoteRef/>
      </w:r>
      <w:r>
        <w:rPr>
          <w:rFonts w:ascii="Georgia" w:cs="Georgia" w:eastAsia="Georgia" w:hAnsi="Georgia"/>
          <w:sz w:val="18"/>
          <w:szCs w:val="18"/>
        </w:rPr>
        <w:t xml:space="preserve">EITT: Entropy-Information Temporal Tracking. A method for detecting compositional regime changes via angular velocity on the simplex.</w:t>
      </w:r>
    </w:p>
  </w:footnote>
  <w:footnote w:id="4">
    <w:p>
      <w:r>
        <w:rPr>
          <w:rStyle w:val="FootnoteReference"/>
        </w:rPr>
        <w:footnoteRef/>
      </w:r>
      <w:r>
        <w:rPr>
          <w:rFonts w:ascii="Georgia" w:cs="Georgia" w:eastAsia="Georgia" w:hAnsi="Georgia"/>
          <w:sz w:val="18"/>
          <w:szCs w:val="18"/>
        </w:rPr>
        <w:t xml:space="preserve">The compositional uncertainty principle was discovered empirically in EXP-17 and shown to be invariant across integrators, time steps, and initial conditions.</w:t>
      </w:r>
    </w:p>
  </w:footnote>
  <w:footnote w:id="5">
    <w:p>
      <w:r>
        <w:rPr>
          <w:rStyle w:val="FootnoteReference"/>
        </w:rPr>
        <w:footnoteRef/>
      </w:r>
      <w:r>
        <w:rPr>
          <w:rFonts w:ascii="Georgia" w:cs="Georgia" w:eastAsia="Georgia" w:hAnsi="Georgia"/>
          <w:sz w:val="18"/>
          <w:szCs w:val="18"/>
        </w:rPr>
        <w:t xml:space="preserve">Fisher information metric on the simplex: g_ij = delta_ij / p_i. This is the natural Riemannian metric for probability distributions.</w:t>
      </w:r>
    </w:p>
  </w:footnote>
  <w:footnote w:id="6">
    <w:p>
      <w:r>
        <w:rPr>
          <w:rStyle w:val="FootnoteReference"/>
        </w:rPr>
        <w:footnoteRef/>
      </w:r>
      <w:r>
        <w:rPr>
          <w:rFonts w:ascii="Georgia" w:cs="Georgia" w:eastAsia="Georgia" w:hAnsi="Georgia"/>
          <w:sz w:val="18"/>
          <w:szCs w:val="18"/>
        </w:rPr>
        <w:t xml:space="preserve">Taylor-Quinney coefficient: approximately 90% of plastic work converts to heat in metals. The remaining 10% is stored as lattice defects.</w:t>
      </w:r>
    </w:p>
  </w:footnote>
  <w:footnote w:id="7">
    <w:p>
      <w:r>
        <w:rPr>
          <w:rStyle w:val="FootnoteReference"/>
        </w:rPr>
        <w:footnoteRef/>
      </w:r>
      <w:r>
        <w:rPr>
          <w:rFonts w:ascii="Georgia" w:cs="Georgia" w:eastAsia="Georgia" w:hAnsi="Georgia"/>
          <w:sz w:val="18"/>
          <w:szCs w:val="18"/>
        </w:rPr>
        <w:t xml:space="preserve">Hollomon power law: σ = Kε^n, where K is the hardening coefficient and n the hardening exponent.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28090" w:sz="4" w:space="4"/>
      </w:pBdr>
      <w:tabs>
        <w:tab w:val="right" w:pos="9026"/>
      </w:tabs>
    </w:pPr>
    <w:r>
      <w:rPr>
        <w:rFonts w:ascii="Arial" w:cs="Arial" w:eastAsia="Arial" w:hAnsi="Arial"/>
        <w:color w:val="999999"/>
        <w:sz w:val="18"/>
        <w:szCs w:val="18"/>
      </w:rPr>
      <w:t xml:space="preserve">Information Mechanics</w:t>
    </w:r>
    <w:r>
      <w:rPr>
        <w:rFonts w:ascii="Arial" w:cs="Arial" w:eastAsia="Arial" w:hAnsi="Arial"/>
        <w:color w:val="999999"/>
        <w:sz w:val="18"/>
        <w:szCs w:val="18"/>
      </w:rPr>
      <w:t xml:space="preserve">	Higgins Unity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Roman"/>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Black" w:cs="Arial Black" w:eastAsia="Arial Black" w:hAnsi="Arial Black"/>
      <w:b/>
      <w:bCs/>
      <w:color w:val="1E2761"/>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02809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E276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2026-04-22T08:08:48.696Z</dcterms:created>
  <dcterms:modified xsi:type="dcterms:W3CDTF">2026-04-22T08:08:48.696Z</dcterms:modified>
</cp:coreProperties>
</file>

<file path=docProps/custom.xml><?xml version="1.0" encoding="utf-8"?>
<Properties xmlns="http://schemas.openxmlformats.org/officeDocument/2006/custom-properties" xmlns:vt="http://schemas.openxmlformats.org/officeDocument/2006/docPropsVTypes"/>
</file>