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2F5496"/>
          <w:sz w:val="40"/>
          <w:szCs w:val="40"/>
        </w:rPr>
        <w:t xml:space="preserve">Complementary Integration Brief</w:t>
      </w:r>
    </w:p>
    <w:p>
      <w:pPr>
        <w:spacing w:after="80"/>
        <w:jc w:val="center"/>
      </w:pPr>
      <w:r>
        <w:rPr>
          <w:rFonts w:ascii="Arial" w:cs="Arial" w:eastAsia="Arial" w:hAnsi="Arial"/>
          <w:color w:val="666666"/>
          <w:sz w:val="26"/>
          <w:szCs w:val="26"/>
        </w:rPr>
        <w:t xml:space="preserve">CoDa/HUF as Diagnostic Layer for Existing Systems Tools</w:t>
      </w:r>
    </w:p>
    <w:p>
      <w:pPr>
        <w:spacing w:after="80"/>
        <w:jc w:val="center"/>
      </w:pPr>
      <w:r>
        <w:rPr>
          <w:rFonts w:ascii="Arial" w:cs="Arial" w:eastAsia="Arial" w:hAnsi="Arial"/>
          <w:color w:val="666666"/>
          <w:sz w:val="22"/>
          <w:szCs w:val="22"/>
        </w:rPr>
        <w:t xml:space="preserve">Validated on NGFS Phase 4 Data (496,224 rows, 3 IAMs, 7 scenarios, 62 regions)</w:t>
      </w:r>
    </w:p>
    <w:p>
      <w:pPr>
        <w:spacing w:after="300"/>
        <w:jc w:val="center"/>
      </w:pPr>
      <w:r>
        <w:rPr>
          <w:rFonts w:ascii="Arial" w:cs="Arial" w:eastAsia="Arial" w:hAnsi="Arial"/>
          <w:color w:val="999999"/>
          <w:sz w:val="20"/>
          <w:szCs w:val="20"/>
        </w:rPr>
        <w:t xml:space="preserve">Peter Higgins | Rogue Wave Audio | April 2026</w:t>
      </w:r>
    </w:p>
    <w:p>
      <w:pPr>
        <w:pStyle w:val="Heading1"/>
        <w:spacing w:after="150" w:before="300"/>
      </w:pPr>
      <w:r>
        <w:rPr>
          <w:rFonts w:ascii="Arial" w:cs="Arial" w:eastAsia="Arial" w:hAnsi="Arial"/>
          <w:b/>
          <w:bCs/>
        </w:rPr>
        <w:t xml:space="preserve">1. Principle</w:t>
      </w:r>
    </w:p>
    <w:p>
      <w:pPr>
        <w:spacing w:after="120"/>
      </w:pPr>
      <w:r>
        <w:rPr>
          <w:rFonts w:ascii="Arial" w:cs="Arial" w:eastAsia="Arial" w:hAnsi="Arial"/>
          <w:sz w:val="22"/>
          <w:szCs w:val="22"/>
        </w:rPr>
        <w:t xml:space="preserve">HUF diagnoses. It does not optimise. It tells you what the composition is doing. It does not tell you what to do about it.</w:t>
      </w:r>
    </w:p>
    <w:p>
      <w:pPr>
        <w:spacing w:after="120"/>
      </w:pPr>
      <w:r>
        <w:rPr>
          <w:rFonts w:ascii="Arial" w:cs="Arial" w:eastAsia="Arial" w:hAnsi="Arial"/>
          <w:sz w:val="22"/>
          <w:szCs w:val="22"/>
        </w:rPr>
        <w:t xml:space="preserve">The compositional data analysis (CoDa) toolkit and the Higgins Unity Framework (HUF) provide a monitoring layer that complements existing systems tools. Applied to IIASA NGFS Phase 4 scenario data, eight CoDa analysis methods produced eight discoveries that are invisible in absolute units. Every discovery identifies a limitation in current practice AND a path to fix it without replacing existing tools.</w:t>
      </w:r>
    </w:p>
    <w:p>
      <w:pPr>
        <w:spacing w:after="120"/>
      </w:pPr>
      <w:r>
        <w:rPr>
          <w:rFonts w:ascii="Arial" w:cs="Arial" w:eastAsia="Arial" w:hAnsi="Arial"/>
          <w:b/>
          <w:bCs/>
          <w:sz w:val="22"/>
          <w:szCs w:val="22"/>
        </w:rPr>
        <w:t xml:space="preserve">IIASA alignment: </w:t>
      </w:r>
      <w:r>
        <w:rPr>
          <w:rFonts w:ascii="Arial" w:cs="Arial" w:eastAsia="Arial" w:hAnsi="Arial"/>
          <w:sz w:val="22"/>
          <w:szCs w:val="22"/>
        </w:rPr>
        <w:t xml:space="preserve">IIASA’s strategy calls for “new systems tools that increase realism.” CoDa/HUF answers that call. The simplex constraint is real. Compositions have their own geometry. That geometry has consequences. The tools to measure those consequences now exist and are validated on IIASA’s own data.</w:t>
      </w:r>
    </w:p>
    <w:p>
      <w:pPr>
        <w:pStyle w:val="Heading1"/>
        <w:spacing w:after="150" w:before="300"/>
      </w:pPr>
      <w:r>
        <w:rPr>
          <w:rFonts w:ascii="Arial" w:cs="Arial" w:eastAsia="Arial" w:hAnsi="Arial"/>
          <w:b/>
          <w:bCs/>
        </w:rPr>
        <w:t xml:space="preserve">2. What We Offer Each Community</w:t>
      </w:r>
    </w:p>
    <w:p>
      <w:pPr>
        <w:spacing w:after="120"/>
      </w:pPr>
      <w:r>
        <w:rPr>
          <w:rFonts w:ascii="Arial" w:cs="Arial" w:eastAsia="Arial" w:hAnsi="Arial"/>
          <w:sz w:val="22"/>
          <w:szCs w:val="22"/>
        </w:rPr>
        <w:t xml:space="preserve">For each group, we identify: what CoDa/HUF adds, what boundary we respect, and how their existing data helps us. The relationship is always bidirectional.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700"/>
        <w:gridCol w:w="2560"/>
      </w:tblGrid>
      <w:tr>
        <w:tc>
          <w:tcPr>
            <w:tcW w:type="dxa" w:w="18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Community</w:t>
            </w:r>
          </w:p>
        </w:tc>
        <w:tc>
          <w:tcPr>
            <w:tcW w:type="dxa" w:w="22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What We Add</w:t>
            </w:r>
          </w:p>
        </w:tc>
        <w:tc>
          <w:tcPr>
            <w:tcW w:type="dxa" w:w="27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The Boundary</w:t>
            </w:r>
          </w:p>
        </w:tc>
        <w:tc>
          <w:tcPr>
            <w:tcW w:type="dxa" w:w="256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Their Data Helps 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Multi-model averaging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Compositional averaging via Fréchet mean in ILR space. Subcompositional coherence test before publishing.</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 do not say “stop averaging.” We say “average correctly on the simplex.”</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Multi-model outputs are the test bed for HUF diagnostics. More models = better diagnosis.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IAM teams (GCAM, MESSAGEix, REMIND)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Variation matrix identifies which parts couple and which are independent. Principled dimensionality reduction.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 complement optimisation, not replace it. They find the path; we diagnose its quality.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Their scenario outputs are the compositions HUF monitors. More scenarios = richer diagnostics.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Policy analysts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Structural diagnosis of starting position. Which transitions the current composition supports.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 constrains direction; policy chooses pace. r=0.93 explains variance, not importance.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Policy scenario definitions become powering exponents in perturbation analysis.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Zero-replacement researchers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Sensitivity protocol: test multiplicative AND Bayesian, report range, let domain science choose.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methods survive in MC-4. Domain determines protocol. Nuclear at 0.1% = multiplicative. No geothermal = Bayesian.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Their replacement methods handle essential zeros that multiplicative cannot.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Reversibility modellers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Time-reversal diagnostic: compare forward vs backward governance efficiency. Quantified path dependency.</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Compositional irreversibility ≠ physical impossibility. Return paths cost more, they are not forbidden.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Reversal scenarios are the strongest test cases for HUF irreversibility detection.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IIASA programs (ASA, ECE, CAT)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MC-4 diagnostic layer on MESSAGEix/GLOBIOM outputs. EITT as temporal robustness test. Governance efficiency as quality metric.</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HUF does not replace MESSAGEix. Open-loop diagnosis on closed-loop optimisation.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Their data store is vast and open. Every parts-of-a-whole dataset is a HUF target.</w:t>
            </w:r>
          </w:p>
        </w:tc>
      </w:tr>
    </w:tbl>
    <w:p>
      <w:pPr>
        <w:pStyle w:val="Heading1"/>
        <w:spacing w:after="150" w:before="300"/>
      </w:pPr>
      <w:r>
        <w:rPr>
          <w:rFonts w:ascii="Arial" w:cs="Arial" w:eastAsia="Arial" w:hAnsi="Arial"/>
          <w:b/>
          <w:bCs/>
        </w:rPr>
        <w:t xml:space="preserve">3. The Eight Discoveries (Summary)</w:t>
      </w:r>
    </w:p>
    <w:p>
      <w:pPr>
        <w:spacing w:after="120"/>
      </w:pPr>
      <w:r>
        <w:rPr>
          <w:rFonts w:ascii="Arial" w:cs="Arial" w:eastAsia="Arial" w:hAnsi="Arial"/>
          <w:sz w:val="22"/>
          <w:szCs w:val="22"/>
        </w:rPr>
        <w:t xml:space="preserve">Each finding was produced by a standard CoDa tool on publicly available IIASA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800"/>
        <w:gridCol w:w="2200"/>
        <w:gridCol w:w="2560"/>
      </w:tblGrid>
      <w:tr>
        <w:tc>
          <w:tcPr>
            <w:tcW w:type="dxa" w:w="4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18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2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Evidence</w:t>
            </w:r>
          </w:p>
        </w:tc>
        <w:tc>
          <w:tcPr>
            <w:tcW w:type="dxa" w:w="256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Who Benefits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Solar+Wind = one degree of freedom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Variation Matrix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var(ln(S/W)) = 0.154</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IAM teams: principled reduction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of variation is one fossil→clean axis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Compositional PCA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PC1 = 4.21, 60% explained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Policy communicators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Starting composition predicts transition (r=0.93)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Simplicial Regression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Fossil/Clean balance ↔ GovEff</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Policymakers, IIASA ASA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EITT holds on real IIASA data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EITT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ΔH &lt; 5% at block-2/4</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Egozcue, Pawlowsky-Glahn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Transitions are irreversible (−0.89)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Reversal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Fwd↔Rev χ corr = −0.89</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modellers, central banks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GCAM/REMIND subcompositionally incoherent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Coherence Test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GCAM fossil↔full r=0.52</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intercomparison projects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replacement changes GovEff by 54%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Analysis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Bayes α=0.5 → GovEff 1.83→0.84</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 TC 69, MC-4 standard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Perturbation direction is universal across IAMs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Perturbation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sign pattern, all models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Everyone: direction is consensus</w:t>
            </w:r>
          </w:p>
        </w:tc>
      </w:tr>
    </w:tbl>
    <w:p>
      <w:pPr>
        <w:pStyle w:val="Heading1"/>
        <w:spacing w:after="150" w:before="300"/>
      </w:pPr>
      <w:r>
        <w:rPr>
          <w:rFonts w:ascii="Arial" w:cs="Arial" w:eastAsia="Arial" w:hAnsi="Arial"/>
          <w:b/>
          <w:bCs/>
        </w:rPr>
        <w:t xml:space="preserve">4. How Existing Data Becomes More Useful</w:t>
      </w:r>
    </w:p>
    <w:p>
      <w:pPr>
        <w:spacing w:after="120"/>
      </w:pPr>
      <w:r>
        <w:rPr>
          <w:rFonts w:ascii="Arial" w:cs="Arial" w:eastAsia="Arial" w:hAnsi="Arial"/>
          <w:sz w:val="22"/>
          <w:szCs w:val="22"/>
        </w:rPr>
        <w:t xml:space="preserve">Every group’s existing data is immediately usable with CoDa/HUF. The barrier to entry is a CLR or ILR transform — a few lines of code.</w:t>
      </w:r>
    </w:p>
    <w:p>
      <w:pPr>
        <w:spacing w:after="120"/>
      </w:pPr>
      <w:r>
        <w:rPr>
          <w:rFonts w:ascii="Arial" w:cs="Arial" w:eastAsia="Arial" w:hAnsi="Arial"/>
          <w:b/>
          <w:bCs/>
          <w:sz w:val="22"/>
          <w:szCs w:val="22"/>
        </w:rPr>
        <w:t xml:space="preserve">For IAM outputs: </w:t>
      </w:r>
      <w:r>
        <w:rPr>
          <w:rFonts w:ascii="Arial" w:cs="Arial" w:eastAsia="Arial" w:hAnsi="Arial"/>
          <w:sz w:val="22"/>
          <w:szCs w:val="22"/>
        </w:rPr>
        <w:t xml:space="preserve">Any scenario that produces parts-of-a-whole (energy mix, emissions composition, investment allocation, land use) can be closed to the simplex and monitored with HUF. No re-running of models required. The data already exists.</w:t>
      </w:r>
    </w:p>
    <w:p>
      <w:pPr>
        <w:spacing w:after="120"/>
      </w:pPr>
      <w:r>
        <w:rPr>
          <w:rFonts w:ascii="Arial" w:cs="Arial" w:eastAsia="Arial" w:hAnsi="Arial"/>
          <w:b/>
          <w:bCs/>
          <w:sz w:val="22"/>
          <w:szCs w:val="22"/>
        </w:rPr>
        <w:t xml:space="preserve">For NGFS users: </w:t>
      </w:r>
      <w:r>
        <w:rPr>
          <w:rFonts w:ascii="Arial" w:cs="Arial" w:eastAsia="Arial" w:hAnsi="Arial"/>
          <w:sz w:val="22"/>
          <w:szCs w:val="22"/>
        </w:rPr>
        <w:t xml:space="preserve">The scenario explorer already exports CSV. Transform, close, compute χ̄, W, CV(χ), governance efficiency. Every scenario gets a compositional quality score alongside its existing EJ/yr projections.</w:t>
      </w:r>
    </w:p>
    <w:p>
      <w:pPr>
        <w:spacing w:after="120"/>
      </w:pPr>
      <w:r>
        <w:rPr>
          <w:rFonts w:ascii="Arial" w:cs="Arial" w:eastAsia="Arial" w:hAnsi="Arial"/>
          <w:b/>
          <w:bCs/>
          <w:sz w:val="22"/>
          <w:szCs w:val="22"/>
        </w:rPr>
        <w:t xml:space="preserve">For model intercomparison: </w:t>
      </w:r>
      <w:r>
        <w:rPr>
          <w:rFonts w:ascii="Arial" w:cs="Arial" w:eastAsia="Arial" w:hAnsi="Arial"/>
          <w:sz w:val="22"/>
          <w:szCs w:val="22"/>
        </w:rPr>
        <w:t xml:space="preserve">Before averaging, run the subcompositional coherence test. If models are coherent, average in ILR space. If not, report separately for the incoherent sub-composition. The fix is one function call.</w:t>
      </w:r>
    </w:p>
    <w:p>
      <w:pPr>
        <w:spacing w:after="120"/>
      </w:pPr>
      <w:r>
        <w:rPr>
          <w:rFonts w:ascii="Arial" w:cs="Arial" w:eastAsia="Arial" w:hAnsi="Arial"/>
          <w:b/>
          <w:bCs/>
          <w:sz w:val="22"/>
          <w:szCs w:val="22"/>
        </w:rPr>
        <w:t xml:space="preserve">For standards bodies: </w:t>
      </w:r>
      <w:r>
        <w:rPr>
          <w:rFonts w:ascii="Arial" w:cs="Arial" w:eastAsia="Arial" w:hAnsi="Arial"/>
          <w:sz w:val="22"/>
          <w:szCs w:val="22"/>
        </w:rPr>
        <w:t xml:space="preserve">Finding #7 proves a protocol is needed. MC-4 specifies zero-replacement method, compositional distance metric, and diagnostic thresholds. Without it, same data produces different diagnoses depending on analyst choices.</w:t>
      </w:r>
    </w:p>
    <w:p>
      <w:pPr>
        <w:pStyle w:val="Heading1"/>
        <w:spacing w:after="150" w:before="300"/>
      </w:pPr>
      <w:r>
        <w:rPr>
          <w:rFonts w:ascii="Arial" w:cs="Arial" w:eastAsia="Arial" w:hAnsi="Arial"/>
          <w:b/>
          <w:bCs/>
        </w:rPr>
        <w:t xml:space="preserve">5. IIASA Entry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Program</w:t>
            </w:r>
          </w:p>
        </w:tc>
        <w:tc>
          <w:tcPr>
            <w:tcW w:type="dxa" w:w="368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What HUF Adds</w:t>
            </w:r>
          </w:p>
        </w:tc>
        <w:tc>
          <w:tcPr>
            <w:tcW w:type="dxa" w:w="368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Entry Point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ASA — NODES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Compositional diagnostics for any parts-of-a-whole dataset in their ecosystem</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Novel Data Ecosystems group. HUF as a diagnostic plugin.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ASA — SYRR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Governance efficiency, winding ratio, irreversibility as systemic risk metrics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Systemic Risk and Resilience group. Financial stability applications.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MC-4 monitoring layer on MESSAGEix/GLOBIOM. Already demonstrated on NGFS Phase 4.</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Energy, Climate, Environment. First deployment domain. MESSAGE Community Meeting May 27.</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Governance efficiency concept maps directly to cooperative governance assessment.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Cooperation and Transformative Governance. The governance conversation.</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Timeline: </w:t>
      </w:r>
      <w:r>
        <w:rPr>
          <w:rFonts w:ascii="Arial" w:cs="Arial" w:eastAsia="Arial" w:hAnsi="Arial"/>
          <w:sz w:val="22"/>
          <w:szCs w:val="22"/>
        </w:rPr>
        <w:t xml:space="preserve">CoDaWork Coimbra (May 12–16) → MESSAGE Community Meeting Laxenburg (May 27) → IIASA YSSP or direct partnership proposal.</w:t>
      </w:r>
    </w:p>
    <w:p>
      <w:pPr>
        <w:spacing w:after="120"/>
      </w:pPr>
      <w:r>
        <w:rPr>
          <w:rFonts w:ascii="Arial" w:cs="Arial" w:eastAsia="Arial" w:hAnsi="Arial"/>
          <w:sz w:val="22"/>
          <w:szCs w:val="22"/>
        </w:rPr>
        <w:t xml:space="preserve">CoDa first (they certify the tools), then IIASA (they certify the use case). Sequence matters.</w:t>
      </w:r>
    </w:p>
    <w:p>
      <w:pPr>
        <w:pStyle w:val="Heading1"/>
        <w:spacing w:after="150" w:before="300"/>
      </w:pPr>
      <w:r>
        <w:rPr>
          <w:rFonts w:ascii="Arial" w:cs="Arial" w:eastAsia="Arial" w:hAnsi="Arial"/>
          <w:b/>
          <w:bCs/>
        </w:rPr>
        <w:t xml:space="preserve">6. The Principle, Restated</w:t>
      </w:r>
    </w:p>
    <w:p>
      <w:pPr>
        <w:spacing w:after="120"/>
      </w:pPr>
      <w:r>
        <w:rPr>
          <w:rFonts w:ascii="Arial" w:cs="Arial" w:eastAsia="Arial" w:hAnsi="Arial"/>
          <w:sz w:val="22"/>
          <w:szCs w:val="22"/>
        </w:rPr>
        <w:t xml:space="preserve">We extend. We do not replace. We diagnose. We do not prescribe. We complement. We do not compete.</w:t>
      </w:r>
    </w:p>
    <w:p>
      <w:pPr>
        <w:spacing w:after="120"/>
      </w:pPr>
      <w:r>
        <w:rPr>
          <w:rFonts w:ascii="Arial" w:cs="Arial" w:eastAsia="Arial" w:hAnsi="Arial"/>
          <w:sz w:val="22"/>
          <w:szCs w:val="22"/>
        </w:rPr>
        <w:t xml:space="preserve">Every tool in this brief — variation matrix, ILR-PCA, balance dendrograms, perturbation operators, EITT, HUF diagnostics, time reversal, zero-replacement sensitivity — is either established CoDa methodology (Aitchison 1986, Egozcue et al. 2003) or a novel extension validated on real data.</w:t>
      </w:r>
    </w:p>
    <w:p>
      <w:pPr>
        <w:spacing w:after="120"/>
      </w:pPr>
      <w:r>
        <w:rPr>
          <w:rFonts w:ascii="Arial" w:cs="Arial" w:eastAsia="Arial" w:hAnsi="Arial"/>
          <w:sz w:val="22"/>
          <w:szCs w:val="22"/>
        </w:rPr>
        <w:t xml:space="preserve">The simplex is the same everywhere. Compositions have their own geometry, and that geometry has consequences. The tools to measure those consequences now exist. They are validated. They are ready.</w:t>
      </w:r>
    </w:p>
    <w:p>
      <w:pPr>
        <w:spacing w:after="120"/>
      </w:pPr>
      <w:r>
        <w:rPr>
          <w:rFonts w:ascii="Arial" w:cs="Arial" w:eastAsia="Arial" w:hAnsi="Arial"/>
          <w:i/>
          <w:iCs/>
          <w:sz w:val="22"/>
          <w:szCs w:val="22"/>
        </w:rPr>
        <w:t xml:space="preserve"/>
      </w:r>
    </w:p>
    <w:p>
      <w:pPr>
        <w:spacing w:after="120"/>
      </w:pPr>
      <w:r>
        <w:rPr>
          <w:rFonts w:ascii="Arial" w:cs="Arial" w:eastAsia="Arial" w:hAnsi="Arial"/>
          <w:i/>
          <w:iCs/>
          <w:sz w:val="22"/>
          <w:szCs w:val="22"/>
        </w:rPr>
        <w:t xml:space="preserve">If not lofty, then what for.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999999"/>
        <w:sz w:val="18"/>
        <w:szCs w:val="18"/>
      </w:rPr>
      <w:t xml:space="preserve">HUF/CoDa Complementary Integration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F5496"/>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2026-04-13T08:17:47.999Z</dcterms:created>
  <dcterms:modified xsi:type="dcterms:W3CDTF">2026-04-13T08:17:47.999Z</dcterms:modified>
</cp:coreProperties>
</file>

<file path=docProps/custom.xml><?xml version="1.0" encoding="utf-8"?>
<Properties xmlns="http://schemas.openxmlformats.org/officeDocument/2006/custom-properties" xmlns:vt="http://schemas.openxmlformats.org/officeDocument/2006/docPropsVTypes"/>
</file>