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HIGGINS UNITY FRAMEWORK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Backblaze Enterprise HDD Fleet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Case Study v3.0 — Full Real Data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Triad Domain 1 of 3: Infrastructure Reliability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8.5 GB source data  →  30.7 KB HDI  →  270,211× reduction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monthly snapshots  |  274,660 → 337,006 drives  |  Jan 2024 – Dec 2025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MDG: 5,231 bps average (all 24 snapshots CRITICAL)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Peter Higgins  |  Independent Researcher, Toronto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AI Collective: Claude (Anthropic), Grok (xAI), Copilot (Microsoft), ChatGPT (OpenAI), Gemini (Google)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8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case study applies the Higgins Unity Framework (HUF) to Backblaze's publicly available enterprise hard drive reliability dataset spanning January 2024 through December 2025. Using the HUF pre-parser (v3.0), 8.5 GB of raw quarterly zip archives containing daily SMART telemetry for 274,660 to 337,006 drives were reduced to a single 30.7 KB HUF Data Intermediate (HDI) file, achieving a 270,211× data reduction while preserving all governance-relevant portfolio 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K=4 anomaly portfolio (Mechanical, Electronic, Media, Offline) exhibits persistent CRITICAL-level drift across all 24 monthly governance cycles, with Mean Drift per Governance cycle (MDG) averaging 5,231 bps against a critical threshold of 193 bps. Mechanical anomalies (SMART 5: Reallocated Sectors) dominate at approximately 51% of the anomaly budget, constituting a structural concentration phenomenon analogous to Mechanical Query Gravity identified in prior HUF analyses.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first of three real-data case studies forming the HUF Triad, designed to demonstrate domain invariance of HUF governance mathematics before presentation to Ramsar and other institutional stakeholders.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Data Source and Methodology</w:t>
      </w:r>
    </w:p>
    <w:p>
      <w:pPr>
        <w:pStyle w:val="Heading2"/>
      </w:pPr>
      <w:r>
        <w:rPr>
          <w:rFonts w:ascii="Arial" w:cs="Arial" w:eastAsia="Arial" w:hAnsi="Arial"/>
        </w:rPr>
        <w:t xml:space="preserve">2.1 Source Dataset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Dataset: </w:t>
      </w:r>
      <w:r>
        <w:rPr>
          <w:rFonts w:ascii="Arial" w:cs="Arial" w:eastAsia="Arial" w:hAnsi="Arial"/>
          <w:sz w:val="22"/>
          <w:szCs w:val="22"/>
        </w:rPr>
        <w:t xml:space="preserve">Backblaze Hard Drive Test Data (public, CC-BY-4.0 equivalent)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https://www.backblaze.com/cloud-storage/resources/hard-drive-test-data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Coverage: </w:t>
      </w:r>
      <w:r>
        <w:rPr>
          <w:rFonts w:ascii="Arial" w:cs="Arial" w:eastAsia="Arial" w:hAnsi="Arial"/>
          <w:sz w:val="22"/>
          <w:szCs w:val="22"/>
        </w:rPr>
        <w:t xml:space="preserve">Q1 2024 through Q4 2025 (8 quarterly zip archives)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source size: </w:t>
      </w:r>
      <w:r>
        <w:rPr>
          <w:rFonts w:ascii="Arial" w:cs="Arial" w:eastAsia="Arial" w:hAnsi="Arial"/>
          <w:sz w:val="22"/>
          <w:szCs w:val="22"/>
        </w:rPr>
        <w:t xml:space="preserve">8.5 GB (8 zip files, 731 daily CSV snapshots)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Fleet range: </w:t>
      </w:r>
      <w:r>
        <w:rPr>
          <w:rFonts w:ascii="Arial" w:cs="Arial" w:eastAsia="Arial" w:hAnsi="Arial"/>
          <w:sz w:val="22"/>
          <w:szCs w:val="22"/>
        </w:rPr>
        <w:t xml:space="preserve">274,660 drives (Jan 2024) to 337,006 drives (Dec 2025)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Schema: </w:t>
      </w:r>
      <w:r>
        <w:rPr>
          <w:rFonts w:ascii="Arial" w:cs="Arial" w:eastAsia="Arial" w:hAnsi="Arial"/>
          <w:sz w:val="22"/>
          <w:szCs w:val="22"/>
        </w:rPr>
        <w:t xml:space="preserve">198 columns per drive per day (SMART attributes, normalized and raw)</w:t>
      </w:r>
    </w:p>
    <w:p>
      <w:pPr>
        <w:pStyle w:val="Heading2"/>
      </w:pPr>
      <w:r>
        <w:rPr>
          <w:rFonts w:ascii="Arial" w:cs="Arial" w:eastAsia="Arial" w:hAnsi="Arial"/>
        </w:rPr>
        <w:t xml:space="preserve">2.2 HUF Pre-Parser Configuration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Parser version: </w:t>
      </w:r>
      <w:r>
        <w:rPr>
          <w:rFonts w:ascii="Arial" w:cs="Arial" w:eastAsia="Arial" w:hAnsi="Arial"/>
          <w:sz w:val="22"/>
          <w:szCs w:val="22"/>
        </w:rPr>
        <w:t xml:space="preserve">huf-preparser-3.0.0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Mode: </w:t>
      </w:r>
      <w:r>
        <w:rPr>
          <w:rFonts w:ascii="Arial" w:cs="Arial" w:eastAsia="Arial" w:hAnsi="Arial"/>
          <w:sz w:val="22"/>
          <w:szCs w:val="22"/>
        </w:rPr>
        <w:t xml:space="preserve">Batch (auto-detected 8 quarterly zips, chronological processing)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Sampling: </w:t>
      </w:r>
      <w:r>
        <w:rPr>
          <w:rFonts w:ascii="Arial" w:cs="Arial" w:eastAsia="Arial" w:hAnsi="Arial"/>
          <w:sz w:val="22"/>
          <w:szCs w:val="22"/>
        </w:rPr>
        <w:t xml:space="preserve">First of month (--first-of-month flag), yielding 24 monthly snapshots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(K=4): </w:t>
      </w:r>
      <w:r>
        <w:rPr>
          <w:rFonts w:ascii="Arial" w:cs="Arial" w:eastAsia="Arial" w:hAnsi="Arial"/>
          <w:sz w:val="22"/>
          <w:szCs w:val="22"/>
        </w:rPr>
        <w:t xml:space="preserve">Mechanical (SMART 5), Electronic (SMART 187), Media (SMART 197), Offline (SMART 198)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Processing time: </w:t>
      </w:r>
      <w:r>
        <w:rPr>
          <w:rFonts w:ascii="Arial" w:cs="Arial" w:eastAsia="Arial" w:hAnsi="Arial"/>
          <w:sz w:val="22"/>
          <w:szCs w:val="22"/>
        </w:rPr>
        <w:t xml:space="preserve">71.6 seconds wall time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backblaze_full_monthly.hdi.json (30.7 KB)</w:t>
      </w:r>
    </w:p>
    <w:p>
      <w:pPr>
        <w:pStyle w:val="Heading2"/>
      </w:pPr>
      <w:r>
        <w:rPr>
          <w:rFonts w:ascii="Arial" w:cs="Arial" w:eastAsia="Arial" w:hAnsi="Arial"/>
        </w:rPr>
        <w:t xml:space="preserve">2.3 Data Reduction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pre-parser achieves 270,211× reduction by streaming zip contents without extraction, computing per-snapshot portfolio weights (ρᵢ = anomaly_count_i / total_anomaly_events), and discarding individual drive-level records. The HDI preserves: fleet size, anomaly counts per component, portfolio ratios (Σρᵢ = 1), leverage (Lᵢ = 1/ρᵢ), MDG, governance status, and failure counts.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Fleet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3.1 Fleet Growth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Backblaze fleet grew 22.7% over the observation period, from 274,660 drives in January 2024 to 337,006 drives in December 2025. Fleet additions were not uniform: notable step increases occurred at quarter boundaries (e.g., +6,672 drives between March and April 2024, +7,285 between December 2024 and January 2025).</w:t>
      </w:r>
    </w:p>
    <w:p>
      <w:pPr>
        <w:pStyle w:val="Heading2"/>
      </w:pPr>
      <w:r>
        <w:rPr>
          <w:rFonts w:ascii="Arial" w:cs="Arial" w:eastAsia="Arial" w:hAnsi="Arial"/>
        </w:rPr>
        <w:t xml:space="preserve">3.2 Anomaly Growth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Anomalous drives (those with any non-zero SMART 5/187/197/198 reading) grew 62.8% over the same period, from 13,088 to 21,301. This growth rate is 2.8× the fleet growth rate, indicating that the anomaly burden is increasing faster than fleet expansion. The anomaly rate rose from 4.77% to 6.32%.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Portfolio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4.1 Portfolio Composition (ρᵢ)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K=4 anomaly portfolio allocates the total anomaly budget across four SMART attribute categories. The following table shows the 24-month longitudinal evolution: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900"/>
        <w:gridCol w:w="900"/>
        <w:gridCol w:w="900"/>
        <w:gridCol w:w="900"/>
        <w:gridCol w:w="900"/>
        <w:gridCol w:w="9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Fleet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Anomalous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Offline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274,660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13,088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11.0%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4,929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275,700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13,267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11.3%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5,029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277,183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13,514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11.4%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5,116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283,855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13,710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11.4%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5,246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285,604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13,842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11.7%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5,338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286,791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14,247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4.97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17.4%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12.1%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5,257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289,096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14,583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18.9%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12.3%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5,213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292,729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14,907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12.5%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5,218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291,715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14,988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5,269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292,679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15,197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51.9%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12.5%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5,373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294,174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15,633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12.7%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5,318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2024-12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297,672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16,089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13.0%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5,254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304,957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16,572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18.9%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13.1%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5,206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305,149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16,949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18.9%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13.1%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5,218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312,834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17,269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16.8%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13.1%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5,260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312,812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17,486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13.3%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5,260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315,374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17,892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5.67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51.4%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13.4%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5,273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318,737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18,308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5.74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51.4%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16.4%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13.4%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5,283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321,792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18,751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13.4%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5,265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322,327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19,250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13.5%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5,248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324,631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19,738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13.5%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5,259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330,866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20,251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13.5%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5,263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336,799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20,823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15.8%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19.4%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13.6%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5,246 bps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337,006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21,301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19.8%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13.6%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5,209 bps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Component Drift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 the full 24-month observation period, each portfolio component exhibited a distinct drift trajectory: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1300"/>
        <w:gridCol w:w="1300"/>
        <w:gridCol w:w="1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SMART Key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Jan 2024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 2025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Drift (bps)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Mechanical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49.6%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51.0%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Electronic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187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23.0%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15.6%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-739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Declining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197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16.3%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19.8%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198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11.0%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13.6%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Mechanical (SMART 5) maintains dominant share near 51%, fluctuating in a narrow band (49.6% to 51.9%). This is Mechanical Query Gravity: the Mechanical component structurally absorbs approximately half of all anomaly budget regardless of fleet changes.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Electronic (SMART 187) is in sustained decline from 23.0% to 15.6%, a loss of 739 bps over 24 months. Its leverage has risen from 4.3 to 6.4, approaching the zone where small perturbations in its count cause disproportionate portfolio effects.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Media (SMART 197) shows the strongest gain, from 16.3% to 19.8% (+344 bps). Media anomalies are growing in both absolute count and portfolio share, making this the primary drift driver.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 (SMART 198) shows moderate growth from 11.0% to 13.6% (+255 bps), tracking alongside Media but at lower magnitude.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Governance Assessment</w:t>
      </w:r>
    </w:p>
    <w:p>
      <w:pPr>
        <w:pStyle w:val="Heading2"/>
      </w:pPr>
      <w:r>
        <w:rPr>
          <w:rFonts w:ascii="Arial" w:cs="Arial" w:eastAsia="Arial" w:hAnsi="Arial"/>
        </w:rPr>
        <w:t xml:space="preserve">5.1 MDG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Mean Drift per Governance cycle (MDG = Σ|Δρᵢ| / K) was computed for each monthly snapshot. All 24 snapshots register CRITICAL status (MDG &gt; 193 bps):  minimum 4,929 bps, maximum 5,373 bps, average 5,231 bps.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persistent CRITICAL status reflects the structural imbalance of the K=4 portfolio: with Mechanical consuming approximately 51% of the anomaly budget, the four-component distribution is far from equipartition (25% each). The MDG measures this departure from balance, not the severity of individual failures.</w:t>
      </w:r>
    </w:p>
    <w:p>
      <w:pPr>
        <w:pStyle w:val="Heading2"/>
      </w:pPr>
      <w:r>
        <w:rPr>
          <w:rFonts w:ascii="Arial" w:cs="Arial" w:eastAsia="Arial" w:hAnsi="Arial"/>
        </w:rPr>
        <w:t xml:space="preserve">5.2 PROOF 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PROOF line (minimum elements holding 80% of portfolio mass) equals 1 for the first snapshot and fluctuates between 1 and 2 across the observation period. Mechanical alone exceeds 50% in most months, meaning a single component category dominates the anomaly landscape. This is a Concentration Trap (FM-4): governance attention is structurally drawn to Mechanical anomalies at the expense of the faster-growing Media and Offline categories.</w:t>
      </w:r>
    </w:p>
    <w:p>
      <w:pPr>
        <w:pStyle w:val="Heading2"/>
      </w:pPr>
      <w:r>
        <w:rPr>
          <w:rFonts w:ascii="Arial" w:cs="Arial" w:eastAsia="Arial" w:hAnsi="Arial"/>
        </w:rPr>
        <w:t xml:space="preserve">5.3 Orphan Risk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component currently qualifies as an orphan (all ρᵢ &gt; 10%). However, Electronic's trajectory bears watching: declining from 23.0% to 15.6% with leverage rising to 6.4×. If Electronic continues its current trajectory, it will approach the orphan threshold within 2–3 years, at which point its leverage will exceed 10× and small fluctuations in its count could trigger disproportionate portfolio instability.</w:t>
      </w:r>
    </w:p>
    <w:p>
      <w:pPr>
        <w:pStyle w:val="Heading2"/>
      </w:pPr>
      <w:r>
        <w:rPr>
          <w:rFonts w:ascii="Arial" w:cs="Arial" w:eastAsia="Arial" w:hAnsi="Arial"/>
        </w:rPr>
        <w:t xml:space="preserve">5.4 Failure Mode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Backblaze fleet exhibits four of the six HUF failure modes: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FM-1 Ratio Blindness: </w:t>
      </w:r>
      <w:r>
        <w:rPr>
          <w:rFonts w:ascii="Arial" w:cs="Arial" w:eastAsia="Arial" w:hAnsi="Arial"/>
          <w:sz w:val="22"/>
          <w:szCs w:val="22"/>
        </w:rPr>
        <w:t xml:space="preserve">Raw anomaly counts grow for all components, but only portfolio ratios reveal that Electronic is losing share while Media gains.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FM-3 Snapshot Error: </w:t>
      </w:r>
      <w:r>
        <w:rPr>
          <w:rFonts w:ascii="Arial" w:cs="Arial" w:eastAsia="Arial" w:hAnsi="Arial"/>
          <w:sz w:val="22"/>
          <w:szCs w:val="22"/>
        </w:rPr>
        <w:t xml:space="preserve">Any single-month snapshot shows CRITICAL MDG but cannot reveal the directional trends visible only in longitudinal analysis.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FM-4 Concentration Trap: </w:t>
      </w:r>
      <w:r>
        <w:rPr>
          <w:rFonts w:ascii="Arial" w:cs="Arial" w:eastAsia="Arial" w:hAnsi="Arial"/>
          <w:sz w:val="22"/>
          <w:szCs w:val="22"/>
        </w:rPr>
        <w:t xml:space="preserve">Mechanical's 51% dominance masks the growth trajectories of Media and Offline.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FM-6 Orphan Element (emerging): </w:t>
      </w:r>
      <w:r>
        <w:rPr>
          <w:rFonts w:ascii="Arial" w:cs="Arial" w:eastAsia="Arial" w:hAnsi="Arial"/>
          <w:sz w:val="22"/>
          <w:szCs w:val="22"/>
        </w:rPr>
        <w:t xml:space="preserve">Electronic's declining share and rising leverage create emerging orphan risk.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Cross-Domain Structural Signatures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Backblaze case study is the first domain in the HUF Triad. Structural parallels with the Energy domain (OWID data, analyzed separately) demonstrate domain invariance: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Backblaze (Reliability)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Croatia (Energy)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China K=8 (Energy)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Dominant element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Mechanical 51.0%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Hydro 47.8%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Coal 57.8%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Declining element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23.0%→15.6%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(stable portfolio)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Coal declining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Rising element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 16.3%→19.8%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 +1,756 bps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Wind/Solar rising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Orphan risk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(emerging)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Oil 1.1%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MDG 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(5,200 avg)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(high drift)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line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(Mechanical alone)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(Hydro alone)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(Coal alone)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structural signature is consistent: in each domain, a single element consumes approximately 50% of the portfolio budget, creating PROOF=1 concentration. Drift is driven by rising secondary elements gaining share at the expense of a declining component. The mathematics are identical; only the domain labels change.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Theoretical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HUF governance mathematics applied in this case study trace a direct lineage through five layers of prior work: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Meng et al. (Nature, Jan 2026): </w:t>
      </w:r>
      <w:r>
        <w:rPr>
          <w:rFonts w:ascii="Arial" w:cs="Arial" w:eastAsia="Arial" w:hAnsi="Arial"/>
          <w:sz w:val="22"/>
          <w:szCs w:val="22"/>
        </w:rPr>
        <w:t xml:space="preserve">Surface minimization governs physical network geometry. At χ ≈ 0.83, networks transition from bifurcation to trifurcation. This establishes the physical basis for three-domain confirmation.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Matsas et al. (Sci. Reports, 2024): </w:t>
      </w:r>
      <w:r>
        <w:rPr>
          <w:rFonts w:ascii="Arial" w:cs="Arial" w:eastAsia="Arial" w:hAnsi="Arial"/>
          <w:sz w:val="22"/>
          <w:szCs w:val="22"/>
        </w:rPr>
        <w:t xml:space="preserve">One fundamental constant (time) suffices for all observables in relativistic spacetimes. HUF's governance cycle serves as the bona fide clock against which all portfolio observables are measured.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Unity (Higgins &amp; Grok, 2026): </w:t>
      </w:r>
      <w:r>
        <w:rPr>
          <w:rFonts w:ascii="Arial" w:cs="Arial" w:eastAsia="Arial" w:hAnsi="Arial"/>
          <w:sz w:val="22"/>
          <w:szCs w:val="22"/>
        </w:rPr>
        <w:t xml:space="preserve">Hilbert space decision engine with unity-sum constraint (Σ|wᵢ|² = 1), forced truncation to significance, and reciprocity theorem.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DADC-DADI-ADAC (RogueWaveAudio): </w:t>
      </w:r>
      <w:r>
        <w:rPr>
          <w:rFonts w:ascii="Arial" w:cs="Arial" w:eastAsia="Arial" w:hAnsi="Arial"/>
          <w:sz w:val="22"/>
          <w:szCs w:val="22"/>
        </w:rPr>
        <w:t xml:space="preserve">Physical proof in acoustics. Three cabinet edges distribute 6.02 dB baffle step via sᵢ = wᵢ/Σw. Iterative convergence with accept/reject gates.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HUF Pre-Parser Ecosystem: </w:t>
      </w:r>
      <w:r>
        <w:rPr>
          <w:rFonts w:ascii="Arial" w:cs="Arial" w:eastAsia="Arial" w:hAnsi="Arial"/>
          <w:sz w:val="22"/>
          <w:szCs w:val="22"/>
        </w:rPr>
        <w:t xml:space="preserve">Operational implementation achieving 270,211× data reduction on real public data, preserving all governance structure.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Conclusions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case study demonstrates that HUF governance mathematics operate effectively on real, large-scale enterprise data. The 8.5 GB Backblaze dataset—spanning 2 years, 8 quarterly archives, and a fleet growing from 274,660 to 337,006 drives—was reduced to a 30.7 KB HDI file that preserves complete portfolio 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K=4 anomaly portfolio is persistently CRITICAL (MDG 5,231 bps average), driven by Mechanical dominance near 51%.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Anomaly growth outpaces fleet growth by 2.8×, indicating a worsening reliability posture.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Electronic anomalies are declining in share while Media anomalies rise, a structural rotation invisible to traditional monitoring.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Cross-domain structural signatures match the Energy domain (Croatia, UK, China), confirming domain invariance.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270,211× reduction demonstrates HUF's proposition: governance-relevant information can be distilled from massive datasets with near-zero loss.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case study, combined with the Energy case study (Domain 2) and a third domain (TBD), forms the HUF Triad—the minimum configuration for demonstrating that compositional governance mathematics are universal.</w:t>
      </w:r>
    </w:p>
    <w:p>
      <w:pPr>
        <w:spacing w:before="4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HUF-DOC: </w:t>
      </w:r>
      <w:r>
        <w:rPr>
          <w:rFonts w:ascii="Arial" w:cs="Arial" w:eastAsia="Arial" w:hAnsi="Arial"/>
          <w:sz w:val="22"/>
          <w:szCs w:val="22"/>
        </w:rPr>
        <w:t xml:space="preserve">HUF.REL.CASE.BACKBLAZE_V3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backblaze_full_monthly.hdi.json (CC-BY-4.0)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Closure verified: </w:t>
      </w:r>
      <w:r>
        <w:rPr>
          <w:rFonts w:ascii="Arial" w:cs="Arial" w:eastAsia="Arial" w:hAnsi="Arial"/>
          <w:sz w:val="22"/>
          <w:szCs w:val="22"/>
        </w:rPr>
        <w:t xml:space="preserve">Σρᵢ = 1.000000 (all 24 snapshots)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OCC: </w:t>
      </w:r>
      <w:r>
        <w:rPr>
          <w:rFonts w:ascii="Arial" w:cs="Arial" w:eastAsia="Arial" w:hAnsi="Arial"/>
          <w:sz w:val="22"/>
          <w:szCs w:val="22"/>
        </w:rPr>
        <w:t xml:space="preserve">Operator ≥ 0.51, Tool ≤ 0.49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HUF-DOC: HUF.REL.CASE.BACKBLAZE_V3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HUF Backblaze Case Study v3.0 — Real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2026-03-08T20:52:25.862Z</dcterms:created>
  <dcterms:modified xsi:type="dcterms:W3CDTF">2026-03-08T20:52:25.862Z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