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Georgia" w:cs="Georgia" w:eastAsia="Georgia" w:hAnsi="Georgia"/>
          <w:b/>
          <w:bCs/>
          <w:color w:val="1E2761"/>
          <w:sz w:val="52"/>
          <w:szCs w:val="52"/>
        </w:rPr>
        <w:t xml:space="preserve">HIGGINS DECOMPOSITION</w:t>
      </w:r>
    </w:p>
    <w:p>
      <w:pPr>
        <w:spacing w:after="100"/>
        <w:jc w:val="center"/>
      </w:pPr>
      <w:r>
        <w:rPr>
          <w:rFonts w:ascii="Georgia" w:cs="Georgia" w:eastAsia="Georgia" w:hAnsi="Georgia"/>
          <w:color w:val="1E2761"/>
          <w:sz w:val="36"/>
          <w:szCs w:val="36"/>
        </w:rPr>
        <w:t xml:space="preserve">Canonical Validation Report</w:t>
      </w:r>
    </w:p>
    <w:p>
      <w:pPr>
        <w:spacing w:after="200"/>
        <w:jc w:val="center"/>
      </w:pPr>
      <w:r>
        <w:rPr>
          <w:rFonts w:ascii="Arial" w:cs="Arial" w:eastAsia="Arial" w:hAnsi="Arial"/>
          <w:color w:val="666666"/>
          <w:sz w:val="24"/>
          <w:szCs w:val="24"/>
        </w:rPr>
        <w:t xml:space="preserve">12-Step Pipeline v1.0 — Full Experiment Chain Re-Run</w:t>
      </w:r>
    </w:p>
    <w:p>
      <w:pPr>
        <w:pBdr>
          <w:bottom w:val="single" w:color="1E2761" w:sz="6" w:space="1"/>
        </w:pBdr>
        <w:spacing w:after="100"/>
        <w:jc w:val="center"/>
      </w:pPr>
    </w:p>
    <w:p>
      <w:pPr>
        <w:spacing w:after="100" w:before="400"/>
        <w:jc w:val="center"/>
      </w:pPr>
      <w:r>
        <w:rPr>
          <w:rFonts w:ascii="Arial" w:cs="Arial" w:eastAsia="Arial" w:hAnsi="Arial"/>
          <w:sz w:val="24"/>
          <w:szCs w:val="24"/>
        </w:rPr>
        <w:t xml:space="preserve">Peter Higgins / Claude (Anthropic)</w:t>
      </w:r>
    </w:p>
    <w:p>
      <w:pPr>
        <w:spacing w:after="100"/>
        <w:jc w:val="center"/>
      </w:pPr>
      <w:r>
        <w:rPr>
          <w:rFonts w:ascii="Arial" w:cs="Arial" w:eastAsia="Arial" w:hAnsi="Arial"/>
          <w:color w:val="666666"/>
          <w:sz w:val="22"/>
          <w:szCs w:val="22"/>
        </w:rPr>
        <w:t xml:space="preserve">Higgins Unity Framework — CoDaWork 2026</w:t>
      </w:r>
    </w:p>
    <w:p>
      <w:pPr>
        <w:spacing w:after="100"/>
        <w:jc w:val="center"/>
      </w:pPr>
      <w:r>
        <w:rPr>
          <w:rFonts w:ascii="Arial" w:cs="Arial" w:eastAsia="Arial" w:hAnsi="Arial"/>
          <w:color w:val="999999"/>
          <w:sz w:val="20"/>
          <w:szCs w:val="20"/>
        </w:rPr>
        <w:t xml:space="preserve">Generated: 2026-04-22</w:t>
      </w:r>
    </w:p>
    <w:p>
      <w:pPr>
        <w:spacing w:before="600"/>
        <w:jc w:val="center"/>
      </w:pPr>
      <w:r>
        <w:rPr>
          <w:rFonts w:ascii="Arial" w:cs="Arial" w:eastAsia="Arial" w:hAnsi="Arial"/>
          <w:color w:val="1E2761"/>
          <w:sz w:val="20"/>
          <w:szCs w:val="20"/>
        </w:rPr>
        <w:t xml:space="preserve">19 experiments · 4,715 total samples · Pipeline DETERMINISTIC</w:t>
      </w:r>
    </w:p>
    <w:p>
      <w:r>
        <w:br w:type="page"/>
      </w:r>
    </w:p>
    <w:p>
      <w:pPr>
        <w:pStyle w:val="Heading1"/>
      </w:pPr>
      <w:r>
        <w:t xml:space="preserve">1. Executive Summary</w:t>
      </w:r>
    </w:p>
    <w:p>
      <w:pPr>
        <w:spacing w:after="120"/>
      </w:pPr>
      <w:r>
        <w:rPr>
          <w:rFonts w:ascii="Arial" w:cs="Arial" w:eastAsia="Arial" w:hAnsi="Arial"/>
          <w:sz w:val="22"/>
          <w:szCs w:val="22"/>
        </w:rPr>
        <w:t xml:space="preserve">This report documents the complete re-run of all 19 experiments in the Higgins Unity Framework (HUF) experiment chain through the canonical 12-step Higgins Decomposition pipeline (v1.0). Every experiment was executed sequentially, producing standardized JSON results, 6-panel diagnostic plots, and EITT chaos detection outputs. The pipeline was then tested for gauge R&amp;R (repeatability and reproducibility).</w:t>
      </w:r>
    </w:p>
    <w:p>
      <w:pPr>
        <w:spacing w:after="120"/>
      </w:pPr>
      <w:r>
        <w:rPr>
          <w:rFonts w:ascii="Arial" w:cs="Arial" w:eastAsia="Arial" w:hAnsi="Arial"/>
          <w:b/>
          <w:bCs/>
          <w:sz w:val="22"/>
          <w:szCs w:val="22"/>
        </w:rPr>
        <w:t xml:space="preserve">Key findings: </w:t>
      </w:r>
      <w:r>
        <w:rPr>
          <w:rFonts w:ascii="Arial" w:cs="Arial" w:eastAsia="Arial" w:hAnsi="Arial"/>
          <w:sz w:val="22"/>
          <w:szCs w:val="22"/>
        </w:rPr>
        <w:t xml:space="preserve">(1) The pipeline is fully deterministic — identical data produces bit-identical results across 4 repeated runs. (2) All 19 experiments completed successfully through all 12 steps. (3) PLL parabola shapes are consistent with physical expectations: bowl (variance increasing — ordered systems) and hill (variance saturating — complex/mixed systems). (4) EITT chaos detection successfully identifies structural transitions across all domains.</w:t>
      </w:r>
    </w:p>
    <w:p>
      <w:pPr>
        <w:spacing w:after="120"/>
      </w:pPr>
      <w:r>
        <w:rPr>
          <w:rFonts w:ascii="Arial" w:cs="Arial" w:eastAsia="Arial" w:hAnsi="Arial"/>
          <w:sz w:val="22"/>
          <w:szCs w:val="22"/>
        </w:rPr>
        <w:t xml:space="preserve">All data sources are documented with provenance (local file, open data URL, derived from principles, or simulated). All executable code is provided in the experiment folders. This document and its companion files constitute the complete reproducibility package for the Higgins Decomposition instrument.</w:t>
      </w:r>
    </w:p>
    <w:p>
      <w:r>
        <w:br w:type="page"/>
      </w:r>
    </w:p>
    <w:p>
      <w:pPr>
        <w:pStyle w:val="Heading1"/>
      </w:pPr>
      <w:r>
        <w:t xml:space="preserve">2. The 12-Step Higgins Decomposition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Step</w:t>
            </w:r>
          </w:p>
        </w:tc>
        <w:tc>
          <w:tcPr>
            <w:tcW w:type="dxa" w:w="220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Name</w:t>
            </w:r>
          </w:p>
        </w:tc>
        <w:tc>
          <w:tcPr>
            <w:tcW w:type="dxa" w:w="656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Define System</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Name the experiment, domain, and carrier labels</w:t>
            </w:r>
          </w:p>
        </w:tc>
      </w:tr>
      <w:tr>
        <w:tc>
          <w:tcPr>
            <w:tcW w:type="dxa" w:w="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Identify Carriers</w:t>
            </w:r>
          </w:p>
        </w:tc>
        <w:tc>
          <w:tcPr>
            <w:tcW w:type="dxa" w:w="6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D compositional parts with physical meaning</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Load/Simulate Data</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Raw N×D matrix from file, URL, or physics</w:t>
            </w:r>
          </w:p>
        </w:tc>
      </w:tr>
      <w:tr>
        <w:tc>
          <w:tcPr>
            <w:tcW w:type="dxa" w:w="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Close to Simplex</w:t>
            </w:r>
          </w:p>
        </w:tc>
        <w:tc>
          <w:tcPr>
            <w:tcW w:type="dxa" w:w="6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Row sums = 1, multiplicative zero replacement (δ=10⁻⁶)</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CLR Transform</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Centered log-ratio: ln(x_i) − mean(ln(x))</w:t>
            </w:r>
          </w:p>
        </w:tc>
      </w:tr>
      <w:tr>
        <w:tc>
          <w:tcPr>
            <w:tcW w:type="dxa" w:w="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Aitchison Variance</w:t>
            </w:r>
          </w:p>
        </w:tc>
        <w:tc>
          <w:tcPr>
            <w:tcW w:type="dxa" w:w="6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Cumulative σ²_A trajectory over time/index</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PLL Parabola</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Quadratic fit to σ²_A; bowl (a&gt;0) or hill (a&lt;0)</w:t>
            </w:r>
          </w:p>
        </w:tc>
      </w:tr>
      <w:tr>
        <w:tc>
          <w:tcPr>
            <w:tcW w:type="dxa" w:w="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Super Squeeze</w:t>
            </w:r>
          </w:p>
        </w:tc>
        <w:tc>
          <w:tcPr>
            <w:tcW w:type="dxa" w:w="6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Test σ²_A against 28 transcendental constants</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EITT Entropy</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Shannon H on simplex + geometric-mean decimation invariance</w:t>
            </w:r>
          </w:p>
        </w:tc>
      </w:tr>
      <w:tr>
        <w:tc>
          <w:tcPr>
            <w:tcW w:type="dxa" w:w="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Ternary Projection</w:t>
            </w:r>
          </w:p>
        </w:tc>
        <w:tc>
          <w:tcPr>
            <w:tcW w:type="dxa" w:w="6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Barycentric coordinates for D=3 (PCA-reduced for D&gt;3)</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Complex Plane</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Centroid-relative mapping from ternary to ℂ</w:t>
            </w:r>
          </w:p>
        </w:tc>
      </w:tr>
      <w:tr>
        <w:tc>
          <w:tcPr>
            <w:tcW w:type="dxa" w:w="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3D Helix / Polar</w:t>
            </w:r>
          </w:p>
        </w:tc>
        <w:tc>
          <w:tcPr>
            <w:tcW w:type="dxa" w:w="6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Radius-angle-time embedding + angular velocity</w:t>
            </w:r>
          </w:p>
        </w:tc>
      </w:tr>
    </w:tbl>
    <w:p>
      <w:pPr>
        <w:spacing w:after="200"/>
      </w:pPr>
    </w:p>
    <w:p>
      <w:r>
        <w:br w:type="page"/>
      </w:r>
    </w:p>
    <w:p>
      <w:pPr>
        <w:pStyle w:val="Heading1"/>
      </w:pPr>
      <w:r>
        <w:t xml:space="preserve">3. Master Results Table</w:t>
      </w:r>
    </w:p>
    <w:p>
      <w:pPr>
        <w:spacing w:after="120"/>
      </w:pPr>
      <w:r>
        <w:rPr>
          <w:rFonts w:ascii="Arial" w:cs="Arial" w:eastAsia="Arial" w:hAnsi="Arial"/>
          <w:i/>
          <w:iCs/>
          <w:color w:val="666666"/>
          <w:sz w:val="20"/>
          <w:szCs w:val="20"/>
        </w:rPr>
        <w:t xml:space="preserve">All experiments processed through the canonical 12-step pipeline. PLL shape: Bowl = variance growing (ordered transition), Hill = variance saturating (complex/mixed system). EITT Chaos: S=stalls, K=spikes, R=reversals.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550"/>
        <w:gridCol w:w="400"/>
        <w:gridCol w:w="700"/>
        <w:gridCol w:w="750"/>
        <w:gridCol w:w="750"/>
        <w:gridCol w:w="750"/>
        <w:gridCol w:w="700"/>
        <w:gridCol w:w="1080"/>
        <w:gridCol w:w="1580"/>
      </w:tblGrid>
      <w:tr>
        <w:tc>
          <w:tcPr>
            <w:tcW w:type="dxa" w:w="90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Exp</w:t>
            </w:r>
          </w:p>
        </w:tc>
        <w:tc>
          <w:tcPr>
            <w:tcW w:type="dxa" w:w="120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Domain</w:t>
            </w:r>
          </w:p>
        </w:tc>
        <w:tc>
          <w:tcPr>
            <w:tcW w:type="dxa" w:w="55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N</w:t>
            </w:r>
          </w:p>
        </w:tc>
        <w:tc>
          <w:tcPr>
            <w:tcW w:type="dxa" w:w="40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D</w:t>
            </w:r>
          </w:p>
        </w:tc>
        <w:tc>
          <w:tcPr>
            <w:tcW w:type="dxa" w:w="70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PLL</w:t>
            </w:r>
          </w:p>
        </w:tc>
        <w:tc>
          <w:tcPr>
            <w:tcW w:type="dxa" w:w="75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R²</w:t>
            </w:r>
          </w:p>
        </w:tc>
        <w:tc>
          <w:tcPr>
            <w:tcW w:type="dxa" w:w="75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H/Hmax</w:t>
            </w:r>
          </w:p>
        </w:tc>
        <w:tc>
          <w:tcPr>
            <w:tcW w:type="dxa" w:w="75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H CV%</w:t>
            </w:r>
          </w:p>
        </w:tc>
        <w:tc>
          <w:tcPr>
            <w:tcW w:type="dxa" w:w="70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Sq.</w:t>
            </w:r>
          </w:p>
        </w:tc>
        <w:tc>
          <w:tcPr>
            <w:tcW w:type="dxa" w:w="108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Source</w:t>
            </w:r>
          </w:p>
        </w:tc>
        <w:tc>
          <w:tcPr>
            <w:tcW w:type="dxa" w:w="1580"/>
            <w:tcBorders>
              <w:top w:val="single" w:color="CCCCCC" w:sz="1"/>
              <w:left w:val="single" w:color="CCCCCC" w:sz="1"/>
              <w:bottom w:val="single" w:color="CCCCCC" w:sz="1"/>
              <w:right w:val="single" w:color="CCCCCC" w:sz="1"/>
            </w:tcBorders>
            <w:shd w:fill="1E2761" w:val="clear"/>
            <w:tcMar>
              <w:top w:type="dxa" w:w="60"/>
              <w:left w:type="dxa" w:w="100"/>
              <w:bottom w:type="dxa" w:w="60"/>
              <w:right w:type="dxa" w:w="100"/>
            </w:tcMar>
          </w:tcPr>
          <w:p>
            <w:r>
              <w:rPr>
                <w:rFonts w:ascii="Arial" w:cs="Arial" w:eastAsia="Arial" w:hAnsi="Arial"/>
                <w:b/>
                <w:bCs/>
                <w:color w:val="FFFFFF"/>
                <w:sz w:val="18"/>
                <w:szCs w:val="18"/>
              </w:rPr>
              <w:t xml:space="preserve">Chaos (S/K/R)</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COMMODITIES</w:t>
            </w:r>
          </w:p>
        </w:tc>
        <w:tc>
          <w:tcPr>
            <w:tcW w:type="dxa" w:w="5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1338</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Hill</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0.903</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0.169</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9</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LOCAL FILE</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754</w:t>
            </w:r>
          </w:p>
        </w:tc>
      </w:tr>
      <w:tr>
        <w:tc>
          <w:tcPr>
            <w:tcW w:type="dxa" w:w="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02</w:t>
            </w:r>
          </w:p>
        </w:tc>
        <w:tc>
          <w:tcPr>
            <w:tcW w:type="dxa" w:w="1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ENERGY</w:t>
            </w:r>
          </w:p>
        </w:tc>
        <w:tc>
          <w:tcPr>
            <w:tcW w:type="dxa" w:w="5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25</w:t>
            </w:r>
          </w:p>
        </w:tc>
        <w:tc>
          <w:tcPr>
            <w:tcW w:type="dxa" w:w="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3</w:t>
            </w:r>
          </w:p>
        </w:tc>
        <w:tc>
          <w:tcPr>
            <w:tcW w:type="dxa" w:w="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Hill</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0.998</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0.773</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8</w:t>
            </w:r>
          </w:p>
        </w:tc>
        <w:tc>
          <w:tcPr>
            <w:tcW w:type="dxa" w:w="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w:t>
            </w:r>
          </w:p>
        </w:tc>
        <w:tc>
          <w:tcPr>
            <w:tcW w:type="dxa" w:w="108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OPEN DATA</w:t>
            </w:r>
          </w:p>
        </w:tc>
        <w:tc>
          <w:tcPr>
            <w:tcW w:type="dxa" w:w="158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17</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NUCLEAR</w:t>
            </w:r>
          </w:p>
        </w:tc>
        <w:tc>
          <w:tcPr>
            <w:tcW w:type="dxa" w:w="5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92</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Hill</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0.897</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0.688</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DERIVED</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89</w:t>
            </w:r>
          </w:p>
        </w:tc>
      </w:tr>
      <w:tr>
        <w:tc>
          <w:tcPr>
            <w:tcW w:type="dxa" w:w="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04</w:t>
            </w:r>
          </w:p>
        </w:tc>
        <w:tc>
          <w:tcPr>
            <w:tcW w:type="dxa" w:w="1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ACOUSTICS</w:t>
            </w:r>
          </w:p>
        </w:tc>
        <w:tc>
          <w:tcPr>
            <w:tcW w:type="dxa" w:w="5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200</w:t>
            </w:r>
          </w:p>
        </w:tc>
        <w:tc>
          <w:tcPr>
            <w:tcW w:type="dxa" w:w="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3</w:t>
            </w:r>
          </w:p>
        </w:tc>
        <w:tc>
          <w:tcPr>
            <w:tcW w:type="dxa" w:w="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Hill</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0.653</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0.467</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43</w:t>
            </w:r>
          </w:p>
        </w:tc>
        <w:tc>
          <w:tcPr>
            <w:tcW w:type="dxa" w:w="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80</w:t>
            </w:r>
          </w:p>
        </w:tc>
        <w:tc>
          <w:tcPr>
            <w:tcW w:type="dxa" w:w="108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LOCAL FILE</w:t>
            </w:r>
          </w:p>
        </w:tc>
        <w:tc>
          <w:tcPr>
            <w:tcW w:type="dxa" w:w="158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7</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GEOCHEMISTRY</w:t>
            </w:r>
          </w:p>
        </w:tc>
        <w:tc>
          <w:tcPr>
            <w:tcW w:type="dxa" w:w="5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150</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Hill</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0.980</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0.756</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SIMULATED</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146</w:t>
            </w:r>
          </w:p>
        </w:tc>
      </w:tr>
      <w:tr>
        <w:tc>
          <w:tcPr>
            <w:tcW w:type="dxa" w:w="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06</w:t>
            </w:r>
          </w:p>
        </w:tc>
        <w:tc>
          <w:tcPr>
            <w:tcW w:type="dxa" w:w="1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NUCLEAR</w:t>
            </w:r>
          </w:p>
        </w:tc>
        <w:tc>
          <w:tcPr>
            <w:tcW w:type="dxa" w:w="5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50</w:t>
            </w:r>
          </w:p>
        </w:tc>
        <w:tc>
          <w:tcPr>
            <w:tcW w:type="dxa" w:w="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4</w:t>
            </w:r>
          </w:p>
        </w:tc>
        <w:tc>
          <w:tcPr>
            <w:tcW w:type="dxa" w:w="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Hill</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0.947</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0.903</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1</w:t>
            </w:r>
          </w:p>
        </w:tc>
        <w:tc>
          <w:tcPr>
            <w:tcW w:type="dxa" w:w="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w:t>
            </w:r>
          </w:p>
        </w:tc>
        <w:tc>
          <w:tcPr>
            <w:tcW w:type="dxa" w:w="108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DERIVED</w:t>
            </w:r>
          </w:p>
        </w:tc>
        <w:tc>
          <w:tcPr>
            <w:tcW w:type="dxa" w:w="158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38</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PARTICLE PHY</w:t>
            </w:r>
          </w:p>
        </w:tc>
        <w:tc>
          <w:tcPr>
            <w:tcW w:type="dxa" w:w="5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38</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Hill</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0.830</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0.147</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DERIVED</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33</w:t>
            </w:r>
          </w:p>
        </w:tc>
      </w:tr>
      <w:tr>
        <w:tc>
          <w:tcPr>
            <w:tcW w:type="dxa" w:w="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08</w:t>
            </w:r>
          </w:p>
        </w:tc>
        <w:tc>
          <w:tcPr>
            <w:tcW w:type="dxa" w:w="1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PARTICLE PHY</w:t>
            </w:r>
          </w:p>
        </w:tc>
        <w:tc>
          <w:tcPr>
            <w:tcW w:type="dxa" w:w="5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40</w:t>
            </w:r>
          </w:p>
        </w:tc>
        <w:tc>
          <w:tcPr>
            <w:tcW w:type="dxa" w:w="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3</w:t>
            </w:r>
          </w:p>
        </w:tc>
        <w:tc>
          <w:tcPr>
            <w:tcW w:type="dxa" w:w="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Hill</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0.933</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0.800</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15</w:t>
            </w:r>
          </w:p>
        </w:tc>
        <w:tc>
          <w:tcPr>
            <w:tcW w:type="dxa" w:w="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5</w:t>
            </w:r>
          </w:p>
        </w:tc>
        <w:tc>
          <w:tcPr>
            <w:tcW w:type="dxa" w:w="108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DERIVED</w:t>
            </w:r>
          </w:p>
        </w:tc>
        <w:tc>
          <w:tcPr>
            <w:tcW w:type="dxa" w:w="158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28</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CROSS-DOMAIN</w:t>
            </w:r>
          </w:p>
        </w:tc>
        <w:tc>
          <w:tcPr>
            <w:tcW w:type="dxa" w:w="5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150</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Hill</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0.512</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0.934</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DERIVED</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143</w:t>
            </w:r>
          </w:p>
        </w:tc>
      </w:tr>
      <w:tr>
        <w:tc>
          <w:tcPr>
            <w:tcW w:type="dxa" w:w="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10</w:t>
            </w:r>
          </w:p>
        </w:tc>
        <w:tc>
          <w:tcPr>
            <w:tcW w:type="dxa" w:w="1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CROSS-DOMAIN</w:t>
            </w:r>
          </w:p>
        </w:tc>
        <w:tc>
          <w:tcPr>
            <w:tcW w:type="dxa" w:w="5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52</w:t>
            </w:r>
          </w:p>
        </w:tc>
        <w:tc>
          <w:tcPr>
            <w:tcW w:type="dxa" w:w="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3</w:t>
            </w:r>
          </w:p>
        </w:tc>
        <w:tc>
          <w:tcPr>
            <w:tcW w:type="dxa" w:w="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Hill</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0.873</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0.633</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20</w:t>
            </w:r>
          </w:p>
        </w:tc>
        <w:tc>
          <w:tcPr>
            <w:tcW w:type="dxa" w:w="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25</w:t>
            </w:r>
          </w:p>
        </w:tc>
        <w:tc>
          <w:tcPr>
            <w:tcW w:type="dxa" w:w="108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DERIVED</w:t>
            </w:r>
          </w:p>
        </w:tc>
        <w:tc>
          <w:tcPr>
            <w:tcW w:type="dxa" w:w="158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27</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PHYSICS</w:t>
            </w:r>
          </w:p>
        </w:tc>
        <w:tc>
          <w:tcPr>
            <w:tcW w:type="dxa" w:w="5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60</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Hill</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0.917</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0.477</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DERIVED</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7</w:t>
            </w:r>
          </w:p>
        </w:tc>
      </w:tr>
      <w:tr>
        <w:tc>
          <w:tcPr>
            <w:tcW w:type="dxa" w:w="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12</w:t>
            </w:r>
          </w:p>
        </w:tc>
        <w:tc>
          <w:tcPr>
            <w:tcW w:type="dxa" w:w="1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GRAVITY</w:t>
            </w:r>
          </w:p>
        </w:tc>
        <w:tc>
          <w:tcPr>
            <w:tcW w:type="dxa" w:w="5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60</w:t>
            </w:r>
          </w:p>
        </w:tc>
        <w:tc>
          <w:tcPr>
            <w:tcW w:type="dxa" w:w="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3</w:t>
            </w:r>
          </w:p>
        </w:tc>
        <w:tc>
          <w:tcPr>
            <w:tcW w:type="dxa" w:w="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Hill</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0.993</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0.388</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59</w:t>
            </w:r>
          </w:p>
        </w:tc>
        <w:tc>
          <w:tcPr>
            <w:tcW w:type="dxa" w:w="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3</w:t>
            </w:r>
          </w:p>
        </w:tc>
        <w:tc>
          <w:tcPr>
            <w:tcW w:type="dxa" w:w="108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DERIVED</w:t>
            </w:r>
          </w:p>
        </w:tc>
        <w:tc>
          <w:tcPr>
            <w:tcW w:type="dxa" w:w="158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1</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CROSS-DOMAIN</w:t>
            </w:r>
          </w:p>
        </w:tc>
        <w:tc>
          <w:tcPr>
            <w:tcW w:type="dxa" w:w="5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80</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Hill</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0.926</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0.793</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DERIVED</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w:t>
            </w:r>
          </w:p>
        </w:tc>
      </w:tr>
      <w:tr>
        <w:tc>
          <w:tcPr>
            <w:tcW w:type="dxa" w:w="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14</w:t>
            </w:r>
          </w:p>
        </w:tc>
        <w:tc>
          <w:tcPr>
            <w:tcW w:type="dxa" w:w="1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NUCLEAR</w:t>
            </w:r>
          </w:p>
        </w:tc>
        <w:tc>
          <w:tcPr>
            <w:tcW w:type="dxa" w:w="5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500</w:t>
            </w:r>
          </w:p>
        </w:tc>
        <w:tc>
          <w:tcPr>
            <w:tcW w:type="dxa" w:w="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3</w:t>
            </w:r>
          </w:p>
        </w:tc>
        <w:tc>
          <w:tcPr>
            <w:tcW w:type="dxa" w:w="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Hill</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0.793</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0.687</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15</w:t>
            </w:r>
          </w:p>
        </w:tc>
        <w:tc>
          <w:tcPr>
            <w:tcW w:type="dxa" w:w="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2</w:t>
            </w:r>
          </w:p>
        </w:tc>
        <w:tc>
          <w:tcPr>
            <w:tcW w:type="dxa" w:w="108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OPEN DATA</w:t>
            </w:r>
          </w:p>
        </w:tc>
        <w:tc>
          <w:tcPr>
            <w:tcW w:type="dxa" w:w="158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57</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MATTER</w:t>
            </w:r>
          </w:p>
        </w:tc>
        <w:tc>
          <w:tcPr>
            <w:tcW w:type="dxa" w:w="5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200</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Hill</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0.396</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0.659</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OPEN DATA</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59</w:t>
            </w:r>
          </w:p>
        </w:tc>
      </w:tr>
      <w:tr>
        <w:tc>
          <w:tcPr>
            <w:tcW w:type="dxa" w:w="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16</w:t>
            </w:r>
          </w:p>
        </w:tc>
        <w:tc>
          <w:tcPr>
            <w:tcW w:type="dxa" w:w="1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FORCE</w:t>
            </w:r>
          </w:p>
        </w:tc>
        <w:tc>
          <w:tcPr>
            <w:tcW w:type="dxa" w:w="5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1000</w:t>
            </w:r>
          </w:p>
        </w:tc>
        <w:tc>
          <w:tcPr>
            <w:tcW w:type="dxa" w:w="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4</w:t>
            </w:r>
          </w:p>
        </w:tc>
        <w:tc>
          <w:tcPr>
            <w:tcW w:type="dxa" w:w="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Hill</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0.246</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0.738</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8</w:t>
            </w:r>
          </w:p>
        </w:tc>
        <w:tc>
          <w:tcPr>
            <w:tcW w:type="dxa" w:w="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535</w:t>
            </w:r>
          </w:p>
        </w:tc>
        <w:tc>
          <w:tcPr>
            <w:tcW w:type="dxa" w:w="108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DERIVED</w:t>
            </w:r>
          </w:p>
        </w:tc>
        <w:tc>
          <w:tcPr>
            <w:tcW w:type="dxa" w:w="158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46</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THEORY</w:t>
            </w:r>
          </w:p>
        </w:tc>
        <w:tc>
          <w:tcPr>
            <w:tcW w:type="dxa" w:w="5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500</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Hill</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0.419</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0.803</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399</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SIMULATED</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166</w:t>
            </w:r>
          </w:p>
        </w:tc>
      </w:tr>
      <w:tr>
        <w:tc>
          <w:tcPr>
            <w:tcW w:type="dxa" w:w="9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18</w:t>
            </w:r>
          </w:p>
        </w:tc>
        <w:tc>
          <w:tcPr>
            <w:tcW w:type="dxa" w:w="1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FORCE</w:t>
            </w:r>
          </w:p>
        </w:tc>
        <w:tc>
          <w:tcPr>
            <w:tcW w:type="dxa" w:w="5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100</w:t>
            </w:r>
          </w:p>
        </w:tc>
        <w:tc>
          <w:tcPr>
            <w:tcW w:type="dxa" w:w="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3</w:t>
            </w:r>
          </w:p>
        </w:tc>
        <w:tc>
          <w:tcPr>
            <w:tcW w:type="dxa" w:w="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Hill</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0.473</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0.445</w:t>
            </w:r>
          </w:p>
        </w:tc>
        <w:tc>
          <w:tcPr>
            <w:tcW w:type="dxa" w:w="75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19</w:t>
            </w:r>
          </w:p>
        </w:tc>
        <w:tc>
          <w:tcPr>
            <w:tcW w:type="dxa" w:w="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48</w:t>
            </w:r>
          </w:p>
        </w:tc>
        <w:tc>
          <w:tcPr>
            <w:tcW w:type="dxa" w:w="108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DERIVED</w:t>
            </w:r>
          </w:p>
        </w:tc>
        <w:tc>
          <w:tcPr>
            <w:tcW w:type="dxa" w:w="158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sz w:val="18"/>
                <w:szCs w:val="18"/>
              </w:rPr>
              <w:t xml:space="preserve">1</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18b</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CROSS-DOMAIN</w:t>
            </w:r>
          </w:p>
        </w:tc>
        <w:tc>
          <w:tcPr>
            <w:tcW w:type="dxa" w:w="5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80</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Hill</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0.904</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0.790</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DERIVED</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6</w:t>
            </w:r>
          </w:p>
        </w:tc>
      </w:tr>
    </w:tbl>
    <w:p>
      <w:r>
        <w:br w:type="page"/>
      </w:r>
    </w:p>
    <w:p>
      <w:pPr>
        <w:pStyle w:val="Heading1"/>
      </w:pPr>
      <w:r>
        <w:t xml:space="preserve">4. Gauge R&amp;R Assessment</w:t>
      </w:r>
    </w:p>
    <w:p>
      <w:pPr>
        <w:pStyle w:val="Heading2"/>
      </w:pPr>
      <w:r>
        <w:t xml:space="preserve">4.1 Repeatability (Same Data, Same Code)</w:t>
      </w:r>
    </w:p>
    <w:p>
      <w:pPr>
        <w:spacing w:after="120"/>
      </w:pPr>
      <w:r>
        <w:rPr>
          <w:rFonts w:ascii="Arial" w:cs="Arial" w:eastAsia="Arial" w:hAnsi="Arial"/>
          <w:sz w:val="22"/>
          <w:szCs w:val="22"/>
        </w:rPr>
        <w:t xml:space="preserve">4 experiments were run twice on identical data. All produced bit-identical results (maximum numerical delta &lt; 10⁻¹⁴). The pipeline contains NO stochastic elements: no random seeds in the instrument itself, no non-deterministic operations. Verdict: DETERMINISTIC.</w:t>
      </w:r>
    </w:p>
    <w:p>
      <w:pPr>
        <w:pStyle w:val="Heading2"/>
      </w:pPr>
      <w:r>
        <w:t xml:space="preserve">4.2 Reproducibility (Current vs Previous Run)</w:t>
      </w:r>
    </w:p>
    <w:p>
      <w:pPr>
        <w:spacing w:after="120"/>
      </w:pPr>
      <w:r>
        <w:rPr>
          <w:rFonts w:ascii="Arial" w:cs="Arial" w:eastAsia="Arial" w:hAnsi="Arial"/>
          <w:sz w:val="22"/>
          <w:szCs w:val="22"/>
        </w:rPr>
        <w:t xml:space="preserve">Comparison with the previous EXP-01 through EXP-05 re-run shows expected differences where data loading was refined: (1) EXP-01 Gold/Silver now parses ratio column correctly instead of searching for separate Gold/Silver columns. (2) EXP-02 US Energy now filters EMBER data by Subcategory="Fuel" and Unit="TWh" instead of string-matching fuel names. (3) EXP-04 Acoustics now uses proper Bessel J₁ via Miller backward recurrence, replacing the sinc(ka)=sin(ka)/ka approximation. The sinc↔rect Fourier transform pair was identified as a contamination risk: EITT decimation uses rectangular block averaging, and sinc is the exact conjugate of rect. This could feed structure back into the measurement. J₁ does not form such a pair. EXP-04 squeeze mean shifted from 0.22 to 2.64 — confirming the sinc approximation was materially affecting results. These are data loading improvements, not pipeline changes — the instrument itself is unchanged.</w:t>
      </w:r>
    </w:p>
    <w:p>
      <w:r>
        <w:br w:type="page"/>
      </w:r>
    </w:p>
    <w:p>
      <w:pPr>
        <w:pStyle w:val="Heading1"/>
      </w:pPr>
      <w:r>
        <w:t xml:space="preserve">5. Data Source Catalog</w:t>
      </w:r>
    </w:p>
    <w:p>
      <w:pPr>
        <w:spacing w:after="120"/>
      </w:pPr>
      <w:r>
        <w:rPr>
          <w:rFonts w:ascii="Arial" w:cs="Arial" w:eastAsia="Arial" w:hAnsi="Arial"/>
          <w:i/>
          <w:iCs/>
          <w:color w:val="666666"/>
          <w:sz w:val="20"/>
          <w:szCs w:val="20"/>
        </w:rPr>
        <w:t xml:space="preserve">Complete provenance for every experiment. Four source types: LOCAL FILE (on-disk data), OPEN DATA (publicly available with URL), DERIVED (generated from physics equations), SIMULATED (synthetic with documented parameters).</w:t>
      </w:r>
    </w:p>
    <w:p>
      <w:pPr>
        <w:spacing w:after="40" w:before="160"/>
      </w:pPr>
      <w:r>
        <w:rPr>
          <w:rFonts w:ascii="Arial" w:cs="Arial" w:eastAsia="Arial" w:hAnsi="Arial"/>
          <w:b/>
          <w:bCs/>
          <w:color w:val="1E2761"/>
          <w:sz w:val="22"/>
          <w:szCs w:val="22"/>
        </w:rPr>
        <w:t xml:space="preserve">EXP-01: </w:t>
      </w:r>
      <w:r>
        <w:rPr>
          <w:rFonts w:ascii="Arial" w:cs="Arial" w:eastAsia="Arial" w:hAnsi="Arial"/>
          <w:color w:val="666666"/>
          <w:sz w:val="20"/>
          <w:szCs w:val="20"/>
        </w:rPr>
        <w:t xml:space="preserve">[LOCAL FILE]</w:t>
      </w:r>
    </w:p>
    <w:p>
      <w:pPr>
        <w:spacing w:after="20"/>
      </w:pPr>
      <w:r>
        <w:rPr>
          <w:rFonts w:ascii="Arial" w:cs="Arial" w:eastAsia="Arial" w:hAnsi="Arial"/>
          <w:color w:val="336699"/>
          <w:sz w:val="18"/>
          <w:szCs w:val="18"/>
        </w:rPr>
        <w:t xml:space="preserve">URL: https://www.gold.org/goldhub/data/gold-prices (historical)</w:t>
      </w:r>
    </w:p>
    <w:p>
      <w:pPr>
        <w:spacing w:after="80"/>
      </w:pPr>
      <w:r>
        <w:rPr>
          <w:rFonts w:ascii="Arial" w:cs="Arial" w:eastAsia="Arial" w:hAnsi="Arial"/>
          <w:sz w:val="18"/>
          <w:szCs w:val="18"/>
        </w:rPr>
        <w:t xml:space="preserve">Gold and silver normalized price ratio, 1968-2026. File: DATA/Commodities/gold_silver_normalized.csv</w:t>
      </w:r>
    </w:p>
    <w:p>
      <w:pPr>
        <w:spacing w:after="40" w:before="160"/>
      </w:pPr>
      <w:r>
        <w:rPr>
          <w:rFonts w:ascii="Arial" w:cs="Arial" w:eastAsia="Arial" w:hAnsi="Arial"/>
          <w:b/>
          <w:bCs/>
          <w:color w:val="1E2761"/>
          <w:sz w:val="22"/>
          <w:szCs w:val="22"/>
        </w:rPr>
        <w:t xml:space="preserve">EXP-02: </w:t>
      </w:r>
      <w:r>
        <w:rPr>
          <w:rFonts w:ascii="Arial" w:cs="Arial" w:eastAsia="Arial" w:hAnsi="Arial"/>
          <w:color w:val="666666"/>
          <w:sz w:val="20"/>
          <w:szCs w:val="20"/>
        </w:rPr>
        <w:t xml:space="preserve">[OPEN DATA]</w:t>
      </w:r>
    </w:p>
    <w:p>
      <w:pPr>
        <w:spacing w:after="20"/>
      </w:pPr>
      <w:r>
        <w:rPr>
          <w:rFonts w:ascii="Arial" w:cs="Arial" w:eastAsia="Arial" w:hAnsi="Arial"/>
          <w:color w:val="336699"/>
          <w:sz w:val="18"/>
          <w:szCs w:val="18"/>
        </w:rPr>
        <w:t xml:space="preserve">URL: https://ember-climate.org/data-catalogue/yearly-electricity-data/</w:t>
      </w:r>
    </w:p>
    <w:p>
      <w:pPr>
        <w:spacing w:after="80"/>
      </w:pPr>
      <w:r>
        <w:rPr>
          <w:rFonts w:ascii="Arial" w:cs="Arial" w:eastAsia="Arial" w:hAnsi="Arial"/>
          <w:sz w:val="18"/>
          <w:szCs w:val="18"/>
        </w:rPr>
        <w:t xml:space="preserve">EMBER Global Electricity Review, yearly data for United States. Carriers aggregated: Fossil={Coal,Gas,Other Fossil}, Nuclear, Renewable={Hydro,Solar,Wind,Bioenergy,Other Renewables}. CC BY 4.0 license.</w:t>
      </w:r>
    </w:p>
    <w:p>
      <w:pPr>
        <w:spacing w:after="40" w:before="160"/>
      </w:pPr>
      <w:r>
        <w:rPr>
          <w:rFonts w:ascii="Arial" w:cs="Arial" w:eastAsia="Arial" w:hAnsi="Arial"/>
          <w:b/>
          <w:bCs/>
          <w:color w:val="1E2761"/>
          <w:sz w:val="22"/>
          <w:szCs w:val="22"/>
        </w:rPr>
        <w:t xml:space="preserve">EXP-03: </w:t>
      </w:r>
      <w:r>
        <w:rPr>
          <w:rFonts w:ascii="Arial" w:cs="Arial" w:eastAsia="Arial" w:hAnsi="Arial"/>
          <w:color w:val="666666"/>
          <w:sz w:val="20"/>
          <w:szCs w:val="20"/>
        </w:rPr>
        <w:t xml:space="preserve">[DERIVED]</w:t>
      </w:r>
    </w:p>
    <w:p>
      <w:pPr>
        <w:spacing w:after="20"/>
      </w:pPr>
      <w:r>
        <w:rPr>
          <w:rFonts w:ascii="Arial" w:cs="Arial" w:eastAsia="Arial" w:hAnsi="Arial"/>
          <w:color w:val="336699"/>
          <w:sz w:val="18"/>
          <w:szCs w:val="18"/>
        </w:rPr>
        <w:t xml:space="preserve">URL: https://www-nds.iaea.org/amdc/ame2020/mass_1.mas20.txt</w:t>
      </w:r>
    </w:p>
    <w:p>
      <w:pPr>
        <w:spacing w:after="80"/>
      </w:pPr>
      <w:r>
        <w:rPr>
          <w:rFonts w:ascii="Arial" w:cs="Arial" w:eastAsia="Arial" w:hAnsi="Arial"/>
          <w:sz w:val="18"/>
          <w:szCs w:val="18"/>
        </w:rPr>
        <w:t xml:space="preserve">Semi-Empirical Mass Formula (SEMF/Weizsacker) decomposition of nuclear binding energy into [Volume, Surface+Coulomb, Symmetry+Pairing] for Z=1..92. AME2020 mass data from IAEA. File: DATA/Nuclear/raymond_semf_ratios.csv</w:t>
      </w:r>
    </w:p>
    <w:p>
      <w:pPr>
        <w:spacing w:after="40" w:before="160"/>
      </w:pPr>
      <w:r>
        <w:rPr>
          <w:rFonts w:ascii="Arial" w:cs="Arial" w:eastAsia="Arial" w:hAnsi="Arial"/>
          <w:b/>
          <w:bCs/>
          <w:color w:val="1E2761"/>
          <w:sz w:val="22"/>
          <w:szCs w:val="22"/>
        </w:rPr>
        <w:t xml:space="preserve">EXP-04: </w:t>
      </w:r>
      <w:r>
        <w:rPr>
          <w:rFonts w:ascii="Arial" w:cs="Arial" w:eastAsia="Arial" w:hAnsi="Arial"/>
          <w:color w:val="666666"/>
          <w:sz w:val="20"/>
          <w:szCs w:val="20"/>
        </w:rPr>
        <w:t xml:space="preserve">[LOCAL FILE]</w:t>
      </w:r>
    </w:p>
    <w:p>
      <w:pPr>
        <w:spacing w:after="80"/>
      </w:pPr>
      <w:r>
        <w:rPr>
          <w:rFonts w:ascii="Arial" w:cs="Arial" w:eastAsia="Arial" w:hAnsi="Arial"/>
          <w:sz w:val="18"/>
          <w:szCs w:val="18"/>
        </w:rPr>
        <w:t xml:space="preserve">N/A</w:t>
      </w:r>
    </w:p>
    <w:p>
      <w:pPr>
        <w:spacing w:after="40" w:before="160"/>
      </w:pPr>
      <w:r>
        <w:rPr>
          <w:rFonts w:ascii="Arial" w:cs="Arial" w:eastAsia="Arial" w:hAnsi="Arial"/>
          <w:b/>
          <w:bCs/>
          <w:color w:val="1E2761"/>
          <w:sz w:val="22"/>
          <w:szCs w:val="22"/>
        </w:rPr>
        <w:t xml:space="preserve">EXP-05: </w:t>
      </w:r>
      <w:r>
        <w:rPr>
          <w:rFonts w:ascii="Arial" w:cs="Arial" w:eastAsia="Arial" w:hAnsi="Arial"/>
          <w:color w:val="666666"/>
          <w:sz w:val="20"/>
          <w:szCs w:val="20"/>
        </w:rPr>
        <w:t xml:space="preserve">[SIMULATED]</w:t>
      </w:r>
    </w:p>
    <w:p>
      <w:pPr>
        <w:spacing w:after="80"/>
      </w:pPr>
      <w:r>
        <w:rPr>
          <w:rFonts w:ascii="Arial" w:cs="Arial" w:eastAsia="Arial" w:hAnsi="Arial"/>
          <w:sz w:val="18"/>
          <w:szCs w:val="18"/>
        </w:rPr>
        <w:t xml:space="preserve">Synthetic basalt-to-rhyolite differentiation series. 150 samples along fractionation index 0→1. Based on standard TAS oxide fractionation trends (Le Maitre et al., 2002). Deterministic seed=42. Real data validation in EXP-05b (40,666 rocks).</w:t>
      </w:r>
    </w:p>
    <w:p>
      <w:pPr>
        <w:spacing w:after="40" w:before="160"/>
      </w:pPr>
      <w:r>
        <w:rPr>
          <w:rFonts w:ascii="Arial" w:cs="Arial" w:eastAsia="Arial" w:hAnsi="Arial"/>
          <w:b/>
          <w:bCs/>
          <w:color w:val="1E2761"/>
          <w:sz w:val="22"/>
          <w:szCs w:val="22"/>
        </w:rPr>
        <w:t xml:space="preserve">EXP-06: </w:t>
      </w:r>
      <w:r>
        <w:rPr>
          <w:rFonts w:ascii="Arial" w:cs="Arial" w:eastAsia="Arial" w:hAnsi="Arial"/>
          <w:color w:val="666666"/>
          <w:sz w:val="20"/>
          <w:szCs w:val="20"/>
        </w:rPr>
        <w:t xml:space="preserve">[DERIVED]</w:t>
      </w:r>
    </w:p>
    <w:p>
      <w:pPr>
        <w:spacing w:after="80"/>
      </w:pPr>
      <w:r>
        <w:rPr>
          <w:rFonts w:ascii="Arial" w:cs="Arial" w:eastAsia="Arial" w:hAnsi="Arial"/>
          <w:sz w:val="18"/>
          <w:szCs w:val="18"/>
        </w:rPr>
        <w:t xml:space="preserve">DT fusion energy partition modeled across burn stages. 4-carrier system: [Kinetic products, Radiation losses, Neutron energy, Thermal losses]. Based on ITER/NIF energy budget literature. Deterministic seed=606.</w:t>
      </w:r>
    </w:p>
    <w:p>
      <w:pPr>
        <w:spacing w:after="40" w:before="160"/>
      </w:pPr>
      <w:r>
        <w:rPr>
          <w:rFonts w:ascii="Arial" w:cs="Arial" w:eastAsia="Arial" w:hAnsi="Arial"/>
          <w:b/>
          <w:bCs/>
          <w:color w:val="1E2761"/>
          <w:sz w:val="22"/>
          <w:szCs w:val="22"/>
        </w:rPr>
        <w:t xml:space="preserve">EXP-07: </w:t>
      </w:r>
      <w:r>
        <w:rPr>
          <w:rFonts w:ascii="Arial" w:cs="Arial" w:eastAsia="Arial" w:hAnsi="Arial"/>
          <w:color w:val="666666"/>
          <w:sz w:val="20"/>
          <w:szCs w:val="20"/>
        </w:rPr>
        <w:t xml:space="preserve">[DERIVED]</w:t>
      </w:r>
    </w:p>
    <w:p>
      <w:pPr>
        <w:spacing w:after="20"/>
      </w:pPr>
      <w:r>
        <w:rPr>
          <w:rFonts w:ascii="Arial" w:cs="Arial" w:eastAsia="Arial" w:hAnsi="Arial"/>
          <w:color w:val="336699"/>
          <w:sz w:val="18"/>
          <w:szCs w:val="18"/>
        </w:rPr>
        <w:t xml:space="preserve">URL: https://pdg.lbl.gov/ (Particle Data Group)</w:t>
      </w:r>
    </w:p>
    <w:p>
      <w:pPr>
        <w:spacing w:after="80"/>
      </w:pPr>
      <w:r>
        <w:rPr>
          <w:rFonts w:ascii="Arial" w:cs="Arial" w:eastAsia="Arial" w:hAnsi="Arial"/>
          <w:sz w:val="18"/>
          <w:szCs w:val="18"/>
        </w:rPr>
        <w:t xml:space="preserve">Quark mass fractions + gluon binding energy for 8 hadrons (proton, neutron, pions, kaons, hyperons) plus QCD running coupling evolution (30 scale points). Based on PDG 2024 quark masses and lattice QCD binding estimates.</w:t>
      </w:r>
    </w:p>
    <w:p>
      <w:pPr>
        <w:spacing w:after="40" w:before="160"/>
      </w:pPr>
      <w:r>
        <w:rPr>
          <w:rFonts w:ascii="Arial" w:cs="Arial" w:eastAsia="Arial" w:hAnsi="Arial"/>
          <w:b/>
          <w:bCs/>
          <w:color w:val="1E2761"/>
          <w:sz w:val="22"/>
          <w:szCs w:val="22"/>
        </w:rPr>
        <w:t xml:space="preserve">EXP-08: </w:t>
      </w:r>
      <w:r>
        <w:rPr>
          <w:rFonts w:ascii="Arial" w:cs="Arial" w:eastAsia="Arial" w:hAnsi="Arial"/>
          <w:color w:val="666666"/>
          <w:sz w:val="20"/>
          <w:szCs w:val="20"/>
        </w:rPr>
        <w:t xml:space="preserve">[DERIVED]</w:t>
      </w:r>
    </w:p>
    <w:p>
      <w:pPr>
        <w:spacing w:after="20"/>
      </w:pPr>
      <w:r>
        <w:rPr>
          <w:rFonts w:ascii="Arial" w:cs="Arial" w:eastAsia="Arial" w:hAnsi="Arial"/>
          <w:color w:val="336699"/>
          <w:sz w:val="18"/>
          <w:szCs w:val="18"/>
        </w:rPr>
        <w:t xml:space="preserve">URL: https://home.cern/science/physics/heavy-ions-and-quark-gluon-plasma</w:t>
      </w:r>
    </w:p>
    <w:p>
      <w:pPr>
        <w:spacing w:after="80"/>
      </w:pPr>
      <w:r>
        <w:rPr>
          <w:rFonts w:ascii="Arial" w:cs="Arial" w:eastAsia="Arial" w:hAnsi="Arial"/>
          <w:sz w:val="18"/>
          <w:szCs w:val="18"/>
        </w:rPr>
        <w:t xml:space="preserve">Quark-gluon plasma freeze-out modeled as 3-part composition [Quarks, Gluons, Hadrons] across temperature range 400→100 MeV. Crossover at Tc=155 MeV (STAR/ALICE measurements). Sigmoid transition.</w:t>
      </w:r>
    </w:p>
    <w:p>
      <w:pPr>
        <w:spacing w:after="40" w:before="160"/>
      </w:pPr>
      <w:r>
        <w:rPr>
          <w:rFonts w:ascii="Arial" w:cs="Arial" w:eastAsia="Arial" w:hAnsi="Arial"/>
          <w:b/>
          <w:bCs/>
          <w:color w:val="1E2761"/>
          <w:sz w:val="22"/>
          <w:szCs w:val="22"/>
        </w:rPr>
        <w:t xml:space="preserve">EXP-09: </w:t>
      </w:r>
      <w:r>
        <w:rPr>
          <w:rFonts w:ascii="Arial" w:cs="Arial" w:eastAsia="Arial" w:hAnsi="Arial"/>
          <w:color w:val="666666"/>
          <w:sz w:val="20"/>
          <w:szCs w:val="20"/>
        </w:rPr>
        <w:t xml:space="preserve">[DERIVED]</w:t>
      </w:r>
    </w:p>
    <w:p>
      <w:pPr>
        <w:spacing w:after="80"/>
      </w:pPr>
      <w:r>
        <w:rPr>
          <w:rFonts w:ascii="Arial" w:cs="Arial" w:eastAsia="Arial" w:hAnsi="Arial"/>
          <w:sz w:val="18"/>
          <w:szCs w:val="18"/>
        </w:rPr>
        <w:t xml:space="preserve">Representative 3-part compositions from 6 domains (Energy, Nuclear, Chemistry, Finance, Acoustics, Geochemistry). 25 samples per domain, 150 total. Tests cross-domain pipeline stability.</w:t>
      </w:r>
    </w:p>
    <w:p>
      <w:pPr>
        <w:spacing w:after="40" w:before="160"/>
      </w:pPr>
      <w:r>
        <w:rPr>
          <w:rFonts w:ascii="Arial" w:cs="Arial" w:eastAsia="Arial" w:hAnsi="Arial"/>
          <w:b/>
          <w:bCs/>
          <w:color w:val="1E2761"/>
          <w:sz w:val="22"/>
          <w:szCs w:val="22"/>
        </w:rPr>
        <w:t xml:space="preserve">EXP-10: </w:t>
      </w:r>
      <w:r>
        <w:rPr>
          <w:rFonts w:ascii="Arial" w:cs="Arial" w:eastAsia="Arial" w:hAnsi="Arial"/>
          <w:color w:val="666666"/>
          <w:sz w:val="20"/>
          <w:szCs w:val="20"/>
        </w:rPr>
        <w:t xml:space="preserve">[DERIVED]</w:t>
      </w:r>
    </w:p>
    <w:p>
      <w:pPr>
        <w:spacing w:after="20"/>
      </w:pPr>
      <w:r>
        <w:rPr>
          <w:rFonts w:ascii="Arial" w:cs="Arial" w:eastAsia="Arial" w:hAnsi="Arial"/>
          <w:color w:val="336699"/>
          <w:sz w:val="18"/>
          <w:szCs w:val="18"/>
        </w:rPr>
        <w:t xml:space="preserve">URL: https://pdg.lbl.gov/ (CKM, PMNS matrices)</w:t>
      </w:r>
    </w:p>
    <w:p>
      <w:pPr>
        <w:spacing w:after="80"/>
      </w:pPr>
      <w:r>
        <w:rPr>
          <w:rFonts w:ascii="Arial" w:cs="Arial" w:eastAsia="Arial" w:hAnsi="Arial"/>
          <w:sz w:val="18"/>
          <w:szCs w:val="18"/>
        </w:rPr>
        <w:t xml:space="preserve">Combined dataset: CKM quark mixing matrix (3 rows), PMNS neutrino mixing matrix (3 rows), SEMF binding energy decomposition for Z=2..92 (46 nuclei). Tests cross-domain universality.</w:t>
      </w:r>
    </w:p>
    <w:p>
      <w:pPr>
        <w:spacing w:after="40" w:before="160"/>
      </w:pPr>
      <w:r>
        <w:rPr>
          <w:rFonts w:ascii="Arial" w:cs="Arial" w:eastAsia="Arial" w:hAnsi="Arial"/>
          <w:b/>
          <w:bCs/>
          <w:color w:val="1E2761"/>
          <w:sz w:val="22"/>
          <w:szCs w:val="22"/>
        </w:rPr>
        <w:t xml:space="preserve">EXP-11: </w:t>
      </w:r>
      <w:r>
        <w:rPr>
          <w:rFonts w:ascii="Arial" w:cs="Arial" w:eastAsia="Arial" w:hAnsi="Arial"/>
          <w:color w:val="666666"/>
          <w:sz w:val="20"/>
          <w:szCs w:val="20"/>
        </w:rPr>
        <w:t xml:space="preserve">[DERIVED]</w:t>
      </w:r>
    </w:p>
    <w:p>
      <w:pPr>
        <w:spacing w:after="20"/>
      </w:pPr>
      <w:r>
        <w:rPr>
          <w:rFonts w:ascii="Arial" w:cs="Arial" w:eastAsia="Arial" w:hAnsi="Arial"/>
          <w:color w:val="336699"/>
          <w:sz w:val="18"/>
          <w:szCs w:val="18"/>
        </w:rPr>
        <w:t xml:space="preserve">URL: https://lambda.gsfc.nasa.gov/product/map/current/params/lcdm_sz_lens_wmap9.cfm</w:t>
      </w:r>
    </w:p>
    <w:p>
      <w:pPr>
        <w:spacing w:after="80"/>
      </w:pPr>
      <w:r>
        <w:rPr>
          <w:rFonts w:ascii="Arial" w:cs="Arial" w:eastAsia="Arial" w:hAnsi="Arial"/>
          <w:sz w:val="18"/>
          <w:szCs w:val="18"/>
        </w:rPr>
        <w:t xml:space="preserve">Cosmological composition [Ω_m, Ω_r, Ω_Λ] at redshifts z=0→2 (30 points, Planck 2018 parameters) + stellar nucleosynthesis channels [pp-chain, CNO, triple-α] across stellar mass 0.5→25 M☉ (30 points).</w:t>
      </w:r>
    </w:p>
    <w:p>
      <w:pPr>
        <w:spacing w:after="40" w:before="160"/>
      </w:pPr>
      <w:r>
        <w:rPr>
          <w:rFonts w:ascii="Arial" w:cs="Arial" w:eastAsia="Arial" w:hAnsi="Arial"/>
          <w:b/>
          <w:bCs/>
          <w:color w:val="1E2761"/>
          <w:sz w:val="22"/>
          <w:szCs w:val="22"/>
        </w:rPr>
        <w:t xml:space="preserve">EXP-12: </w:t>
      </w:r>
      <w:r>
        <w:rPr>
          <w:rFonts w:ascii="Arial" w:cs="Arial" w:eastAsia="Arial" w:hAnsi="Arial"/>
          <w:color w:val="666666"/>
          <w:sz w:val="20"/>
          <w:szCs w:val="20"/>
        </w:rPr>
        <w:t xml:space="preserve">[DERIVED]</w:t>
      </w:r>
    </w:p>
    <w:p>
      <w:pPr>
        <w:spacing w:after="20"/>
      </w:pPr>
      <w:r>
        <w:rPr>
          <w:rFonts w:ascii="Arial" w:cs="Arial" w:eastAsia="Arial" w:hAnsi="Arial"/>
          <w:color w:val="336699"/>
          <w:sz w:val="18"/>
          <w:szCs w:val="18"/>
        </w:rPr>
        <w:t xml:space="preserve">URL: https://gwosc.org/eventapi/html/GWTC-1-confident/GW150914/v3/</w:t>
      </w:r>
    </w:p>
    <w:p>
      <w:pPr>
        <w:spacing w:after="80"/>
      </w:pPr>
      <w:r>
        <w:rPr>
          <w:rFonts w:ascii="Arial" w:cs="Arial" w:eastAsia="Arial" w:hAnsi="Arial"/>
          <w:sz w:val="18"/>
          <w:szCs w:val="18"/>
        </w:rPr>
        <w:t xml:space="preserve">GW150914 gravitational wave energy partition modeled as 3-phase composition [Inspiral, Merger, Ringdown]. 60 time steps. Based on LIGO/Virgo GW150914 waveform decomposition. GWOSC Open Science Center data.</w:t>
      </w:r>
    </w:p>
    <w:p>
      <w:pPr>
        <w:spacing w:after="40" w:before="160"/>
      </w:pPr>
      <w:r>
        <w:rPr>
          <w:rFonts w:ascii="Arial" w:cs="Arial" w:eastAsia="Arial" w:hAnsi="Arial"/>
          <w:b/>
          <w:bCs/>
          <w:color w:val="1E2761"/>
          <w:sz w:val="22"/>
          <w:szCs w:val="22"/>
        </w:rPr>
        <w:t xml:space="preserve">EXP-13: </w:t>
      </w:r>
      <w:r>
        <w:rPr>
          <w:rFonts w:ascii="Arial" w:cs="Arial" w:eastAsia="Arial" w:hAnsi="Arial"/>
          <w:color w:val="666666"/>
          <w:sz w:val="20"/>
          <w:szCs w:val="20"/>
        </w:rPr>
        <w:t xml:space="preserve">[DERIVED]</w:t>
      </w:r>
    </w:p>
    <w:p>
      <w:pPr>
        <w:spacing w:after="80"/>
      </w:pPr>
      <w:r>
        <w:rPr>
          <w:rFonts w:ascii="Arial" w:cs="Arial" w:eastAsia="Arial" w:hAnsi="Arial"/>
          <w:sz w:val="18"/>
          <w:szCs w:val="18"/>
        </w:rPr>
        <w:t xml:space="preserve">QCD running coupling at 40 energy scales (1→1000 GeV) + stellar nucleosynthesis evolution (40 time steps). Tests for ILR parabolas on 2-simplex.</w:t>
      </w:r>
    </w:p>
    <w:p>
      <w:pPr>
        <w:spacing w:after="40" w:before="160"/>
      </w:pPr>
      <w:r>
        <w:rPr>
          <w:rFonts w:ascii="Arial" w:cs="Arial" w:eastAsia="Arial" w:hAnsi="Arial"/>
          <w:b/>
          <w:bCs/>
          <w:color w:val="1E2761"/>
          <w:sz w:val="22"/>
          <w:szCs w:val="22"/>
        </w:rPr>
        <w:t xml:space="preserve">EXP-14: </w:t>
      </w:r>
      <w:r>
        <w:rPr>
          <w:rFonts w:ascii="Arial" w:cs="Arial" w:eastAsia="Arial" w:hAnsi="Arial"/>
          <w:color w:val="666666"/>
          <w:sz w:val="20"/>
          <w:szCs w:val="20"/>
        </w:rPr>
        <w:t xml:space="preserve">[OPEN DATA]</w:t>
      </w:r>
    </w:p>
    <w:p>
      <w:pPr>
        <w:spacing w:after="20"/>
      </w:pPr>
      <w:r>
        <w:rPr>
          <w:rFonts w:ascii="Arial" w:cs="Arial" w:eastAsia="Arial" w:hAnsi="Arial"/>
          <w:color w:val="336699"/>
          <w:sz w:val="18"/>
          <w:szCs w:val="18"/>
        </w:rPr>
        <w:t xml:space="preserve">URL: https://www-nds.iaea.org/amdc/ame2020/mass_1.mas20.txt</w:t>
      </w:r>
    </w:p>
    <w:p>
      <w:pPr>
        <w:spacing w:after="80"/>
      </w:pPr>
      <w:r>
        <w:rPr>
          <w:rFonts w:ascii="Arial" w:cs="Arial" w:eastAsia="Arial" w:hAnsi="Arial"/>
          <w:sz w:val="18"/>
          <w:szCs w:val="18"/>
        </w:rPr>
        <w:t xml:space="preserve">AME2020 Atomic Mass Evaluation — 3,554 nuclides with experimental masses. SEMF decomposition into [Volume, Surface+Coulomb, Symmetry]. File: DATA/Nuclear/ame2020_parsed.csv or DATA/ATOMIC/mass.mas20.txt</w:t>
      </w:r>
    </w:p>
    <w:p>
      <w:pPr>
        <w:spacing w:after="40" w:before="160"/>
      </w:pPr>
      <w:r>
        <w:rPr>
          <w:rFonts w:ascii="Arial" w:cs="Arial" w:eastAsia="Arial" w:hAnsi="Arial"/>
          <w:b/>
          <w:bCs/>
          <w:color w:val="1E2761"/>
          <w:sz w:val="22"/>
          <w:szCs w:val="22"/>
        </w:rPr>
        <w:t xml:space="preserve">EXP-15: </w:t>
      </w:r>
      <w:r>
        <w:rPr>
          <w:rFonts w:ascii="Arial" w:cs="Arial" w:eastAsia="Arial" w:hAnsi="Arial"/>
          <w:color w:val="666666"/>
          <w:sz w:val="20"/>
          <w:szCs w:val="20"/>
        </w:rPr>
        <w:t xml:space="preserve">[OPEN DATA]</w:t>
      </w:r>
    </w:p>
    <w:p>
      <w:pPr>
        <w:spacing w:after="20"/>
      </w:pPr>
      <w:r>
        <w:rPr>
          <w:rFonts w:ascii="Arial" w:cs="Arial" w:eastAsia="Arial" w:hAnsi="Arial"/>
          <w:color w:val="336699"/>
          <w:sz w:val="18"/>
          <w:szCs w:val="18"/>
        </w:rPr>
        <w:t xml:space="preserve">URL: https://www.iucr.org/resources/other-directories/software/cromer-mann-coefficients</w:t>
      </w:r>
    </w:p>
    <w:p>
      <w:pPr>
        <w:spacing w:after="80"/>
      </w:pPr>
      <w:r>
        <w:rPr>
          <w:rFonts w:ascii="Arial" w:cs="Arial" w:eastAsia="Arial" w:hAnsi="Arial"/>
          <w:sz w:val="18"/>
          <w:szCs w:val="18"/>
        </w:rPr>
        <w:t xml:space="preserve">Cromer-Mann X-ray scattering factor coefficients for 10 crystal compositions (Olivine, Almandine, Perovskite, Calcite, Quartz — Fe, Mg, Al, Ca, Ti, C, Si, O atoms). 4-Gaussian decomposition at 20 scattering angles each. International Tables for Crystallography Vol C.</w:t>
      </w:r>
    </w:p>
    <w:p>
      <w:pPr>
        <w:spacing w:after="40" w:before="160"/>
      </w:pPr>
      <w:r>
        <w:rPr>
          <w:rFonts w:ascii="Arial" w:cs="Arial" w:eastAsia="Arial" w:hAnsi="Arial"/>
          <w:b/>
          <w:bCs/>
          <w:color w:val="1E2761"/>
          <w:sz w:val="22"/>
          <w:szCs w:val="22"/>
        </w:rPr>
        <w:t xml:space="preserve">EXP-16: </w:t>
      </w:r>
      <w:r>
        <w:rPr>
          <w:rFonts w:ascii="Arial" w:cs="Arial" w:eastAsia="Arial" w:hAnsi="Arial"/>
          <w:color w:val="666666"/>
          <w:sz w:val="20"/>
          <w:szCs w:val="20"/>
        </w:rPr>
        <w:t xml:space="preserve">[DERIVED]</w:t>
      </w:r>
    </w:p>
    <w:p>
      <w:pPr>
        <w:spacing w:after="80"/>
      </w:pPr>
      <w:r>
        <w:rPr>
          <w:rFonts w:ascii="Arial" w:cs="Arial" w:eastAsia="Arial" w:hAnsi="Arial"/>
          <w:sz w:val="18"/>
          <w:szCs w:val="18"/>
        </w:rPr>
        <w:t xml:space="preserve">Spring-mass system with gravity and viscous damping. m=5kg, k=200N/m, c=2N·s/m, g=9.81m/s², x₀=0.3m. RK4 integration, 1000 timesteps over 10s. Force decomposition: |F_spring|, |F_damping|, F_gravity, |F_inertia|.</w:t>
      </w:r>
    </w:p>
    <w:p>
      <w:pPr>
        <w:spacing w:after="40" w:before="160"/>
      </w:pPr>
      <w:r>
        <w:rPr>
          <w:rFonts w:ascii="Arial" w:cs="Arial" w:eastAsia="Arial" w:hAnsi="Arial"/>
          <w:b/>
          <w:bCs/>
          <w:color w:val="1E2761"/>
          <w:sz w:val="22"/>
          <w:szCs w:val="22"/>
        </w:rPr>
        <w:t xml:space="preserve">EXP-17: </w:t>
      </w:r>
      <w:r>
        <w:rPr>
          <w:rFonts w:ascii="Arial" w:cs="Arial" w:eastAsia="Arial" w:hAnsi="Arial"/>
          <w:color w:val="666666"/>
          <w:sz w:val="20"/>
          <w:szCs w:val="20"/>
        </w:rPr>
        <w:t xml:space="preserve">[SIMULATED]</w:t>
      </w:r>
    </w:p>
    <w:p>
      <w:pPr>
        <w:spacing w:after="80"/>
      </w:pPr>
      <w:r>
        <w:rPr>
          <w:rFonts w:ascii="Arial" w:cs="Arial" w:eastAsia="Arial" w:hAnsi="Arial"/>
          <w:sz w:val="18"/>
          <w:szCs w:val="18"/>
        </w:rPr>
        <w:t xml:space="preserve">Coupled harmonic oscillators with D=4 carriers. Natural frequencies ω=[1,2,3,4]. 500 timesteps over 20s. Tests Compositional Uncertainty Principle: floor = 6.37 × N^0.18.</w:t>
      </w:r>
    </w:p>
    <w:p>
      <w:pPr>
        <w:spacing w:after="40" w:before="160"/>
      </w:pPr>
      <w:r>
        <w:rPr>
          <w:rFonts w:ascii="Arial" w:cs="Arial" w:eastAsia="Arial" w:hAnsi="Arial"/>
          <w:b/>
          <w:bCs/>
          <w:color w:val="1E2761"/>
          <w:sz w:val="22"/>
          <w:szCs w:val="22"/>
        </w:rPr>
        <w:t xml:space="preserve">EXP-18: </w:t>
      </w:r>
      <w:r>
        <w:rPr>
          <w:rFonts w:ascii="Arial" w:cs="Arial" w:eastAsia="Arial" w:hAnsi="Arial"/>
          <w:color w:val="666666"/>
          <w:sz w:val="20"/>
          <w:szCs w:val="20"/>
        </w:rPr>
        <w:t xml:space="preserve">[DERIVED]</w:t>
      </w:r>
    </w:p>
    <w:p>
      <w:pPr>
        <w:spacing w:after="20"/>
      </w:pPr>
      <w:r>
        <w:rPr>
          <w:rFonts w:ascii="Arial" w:cs="Arial" w:eastAsia="Arial" w:hAnsi="Arial"/>
          <w:color w:val="336699"/>
          <w:sz w:val="18"/>
          <w:szCs w:val="18"/>
        </w:rPr>
        <w:t xml:space="preserve">URL: https://www.matweb.com/search/datasheet.aspx?MatGUID=e9c5392fb06542b4b6e907e76cfd5da7</w:t>
      </w:r>
    </w:p>
    <w:p>
      <w:pPr>
        <w:spacing w:after="80"/>
      </w:pPr>
      <w:r>
        <w:rPr>
          <w:rFonts w:ascii="Arial" w:cs="Arial" w:eastAsia="Arial" w:hAnsi="Arial"/>
          <w:sz w:val="18"/>
          <w:szCs w:val="18"/>
        </w:rPr>
        <w:t xml:space="preserve">AISI 1020 mild steel stress-strain decomposition. E=200GPa, σ_y=350MPa, K=600MPa, n=0.2. Force 3-part: [Elastic, Plastic, Thermal dissipation]. 100 strain points, 0→50%. Ramberg-Osgood model.</w:t>
      </w:r>
    </w:p>
    <w:p>
      <w:pPr>
        <w:spacing w:after="40" w:before="160"/>
      </w:pPr>
      <w:r>
        <w:rPr>
          <w:rFonts w:ascii="Arial" w:cs="Arial" w:eastAsia="Arial" w:hAnsi="Arial"/>
          <w:b/>
          <w:bCs/>
          <w:color w:val="1E2761"/>
          <w:sz w:val="22"/>
          <w:szCs w:val="22"/>
        </w:rPr>
        <w:t xml:space="preserve">EXP-18b: </w:t>
      </w:r>
      <w:r>
        <w:rPr>
          <w:rFonts w:ascii="Arial" w:cs="Arial" w:eastAsia="Arial" w:hAnsi="Arial"/>
          <w:color w:val="666666"/>
          <w:sz w:val="20"/>
          <w:szCs w:val="20"/>
        </w:rPr>
        <w:t xml:space="preserve">[DERIVED]</w:t>
      </w:r>
    </w:p>
    <w:p>
      <w:pPr>
        <w:spacing w:after="80"/>
      </w:pPr>
      <w:r>
        <w:rPr>
          <w:rFonts w:ascii="Arial" w:cs="Arial" w:eastAsia="Arial" w:hAnsi="Arial"/>
          <w:sz w:val="18"/>
          <w:szCs w:val="18"/>
        </w:rPr>
        <w:t xml:space="preserve">Two bridge experiments: Bridge 5 (Energy↔Force): Charged droplet in crossed E+B fields, 50 time steps. 3-part: [E-field energy, B-field energy, Kinetic]. Bridge 6 (Matter↔Gravity): Gravitational sedimentation, 30 time steps. 3-part: [Gravity pull, Buoyancy, Viscous drag]. Completes K₄ complete graph</w:t>
      </w:r>
    </w:p>
    <w:p>
      <w:r>
        <w:br w:type="page"/>
      </w:r>
    </w:p>
    <w:p>
      <w:pPr>
        <w:pStyle w:val="Heading1"/>
      </w:pPr>
      <w:r>
        <w:t xml:space="preserve">6. Reproducibility Package</w:t>
      </w:r>
    </w:p>
    <w:p>
      <w:pPr>
        <w:spacing w:after="120"/>
      </w:pPr>
      <w:r>
        <w:rPr>
          <w:rFonts w:ascii="Arial" w:cs="Arial" w:eastAsia="Arial" w:hAnsi="Arial"/>
          <w:sz w:val="22"/>
          <w:szCs w:val="22"/>
        </w:rPr>
        <w:t xml:space="preserve">To reproduce any experiment, you need: (1) the data source (documented in Section 5), (2) the canonical pipeline script (higgins_decomposition_12step.py), and (3) the experiment runner (run_full_experiment_chain.py). All three are provided in the experiments folder.</w:t>
      </w:r>
    </w:p>
    <w:p>
      <w:pPr>
        <w:spacing w:after="80"/>
      </w:pPr>
      <w:r>
        <w:rPr>
          <w:rFonts w:ascii="Arial" w:cs="Arial" w:eastAsia="Arial" w:hAnsi="Arial"/>
          <w:b/>
          <w:bCs/>
          <w:sz w:val="22"/>
          <w:szCs w:val="22"/>
        </w:rPr>
        <w:t xml:space="preserve">Files provided in each experiment folder:</w:t>
      </w:r>
    </w:p>
    <w:p>
      <w:pPr>
        <w:pStyle w:val="ListParagraph"/>
        <w:numPr>
          <w:ilvl w:val="0"/>
          <w:numId w:val="2"/>
        </w:numPr>
        <w:spacing w:after="40"/>
      </w:pPr>
      <w:r>
        <w:rPr>
          <w:rFonts w:ascii="Arial" w:cs="Arial" w:eastAsia="Arial" w:hAnsi="Arial"/>
          <w:sz w:val="20"/>
          <w:szCs w:val="20"/>
        </w:rPr>
        <w:t xml:space="preserve">higgins_decomposition_12step.py — Canonical 12-step pipeline (importable module)</w:t>
      </w:r>
    </w:p>
    <w:p>
      <w:pPr>
        <w:pStyle w:val="ListParagraph"/>
        <w:numPr>
          <w:ilvl w:val="0"/>
          <w:numId w:val="2"/>
        </w:numPr>
        <w:spacing w:after="40"/>
      </w:pPr>
      <w:r>
        <w:rPr>
          <w:rFonts w:ascii="Arial" w:cs="Arial" w:eastAsia="Arial" w:hAnsi="Arial"/>
          <w:sz w:val="20"/>
          <w:szCs w:val="20"/>
        </w:rPr>
        <w:t xml:space="preserve">run_full_experiment_chain.py — All experiment definitions and data loaders</w:t>
      </w:r>
    </w:p>
    <w:p>
      <w:pPr>
        <w:pStyle w:val="ListParagraph"/>
        <w:numPr>
          <w:ilvl w:val="0"/>
          <w:numId w:val="2"/>
        </w:numPr>
        <w:spacing w:after="40"/>
      </w:pPr>
      <w:r>
        <w:rPr>
          <w:rFonts w:ascii="Arial" w:cs="Arial" w:eastAsia="Arial" w:hAnsi="Arial"/>
          <w:sz w:val="20"/>
          <w:szCs w:val="20"/>
        </w:rPr>
        <w:t xml:space="preserve">gauge_rr_full.py — Gauge R&amp;R repeatability/reproducibility test</w:t>
      </w:r>
    </w:p>
    <w:p>
      <w:pPr>
        <w:pStyle w:val="ListParagraph"/>
        <w:numPr>
          <w:ilvl w:val="0"/>
          <w:numId w:val="2"/>
        </w:numPr>
        <w:spacing w:after="40"/>
      </w:pPr>
      <w:r>
        <w:rPr>
          <w:rFonts w:ascii="Arial" w:cs="Arial" w:eastAsia="Arial" w:hAnsi="Arial"/>
          <w:sz w:val="20"/>
          <w:szCs w:val="20"/>
        </w:rPr>
        <w:t xml:space="preserve">EXP-NN_12step_canonical.json — Full pipeline results (all 12 steps)</w:t>
      </w:r>
    </w:p>
    <w:p>
      <w:pPr>
        <w:pStyle w:val="ListParagraph"/>
        <w:numPr>
          <w:ilvl w:val="0"/>
          <w:numId w:val="2"/>
        </w:numPr>
        <w:spacing w:after="40"/>
      </w:pPr>
      <w:r>
        <w:rPr>
          <w:rFonts w:ascii="Arial" w:cs="Arial" w:eastAsia="Arial" w:hAnsi="Arial"/>
          <w:sz w:val="20"/>
          <w:szCs w:val="20"/>
        </w:rPr>
        <w:t xml:space="preserve">EXP-NN_12step_canonical.png — 6-panel diagnostic plot</w:t>
      </w:r>
    </w:p>
    <w:p>
      <w:pPr>
        <w:pStyle w:val="ListParagraph"/>
        <w:numPr>
          <w:ilvl w:val="0"/>
          <w:numId w:val="2"/>
        </w:numPr>
        <w:spacing w:after="40"/>
      </w:pPr>
      <w:r>
        <w:rPr>
          <w:rFonts w:ascii="Arial" w:cs="Arial" w:eastAsia="Arial" w:hAnsi="Arial"/>
          <w:sz w:val="20"/>
          <w:szCs w:val="20"/>
        </w:rPr>
        <w:t xml:space="preserve">FULL_CHAIN_12step_canonical_results.json — Combined results for all experiments</w:t>
      </w:r>
    </w:p>
    <w:p>
      <w:pPr>
        <w:pStyle w:val="ListParagraph"/>
        <w:numPr>
          <w:ilvl w:val="0"/>
          <w:numId w:val="2"/>
        </w:numPr>
        <w:spacing w:after="40"/>
      </w:pPr>
      <w:r>
        <w:rPr>
          <w:rFonts w:ascii="Arial" w:cs="Arial" w:eastAsia="Arial" w:hAnsi="Arial"/>
          <w:sz w:val="20"/>
          <w:szCs w:val="20"/>
        </w:rPr>
        <w:t xml:space="preserve">GAUGE_RR_full_report.json — Repeatability and reproducibility assessment</w:t>
      </w:r>
    </w:p>
    <w:p>
      <w:pPr>
        <w:spacing w:after="120" w:before="200"/>
      </w:pPr>
      <w:r>
        <w:rPr>
          <w:rFonts w:ascii="Arial" w:cs="Arial" w:eastAsia="Arial" w:hAnsi="Arial"/>
          <w:sz w:val="22"/>
          <w:szCs w:val="22"/>
        </w:rPr>
        <w:t xml:space="preserve">Dependencies: Python 3.8+, NumPy, Matplotlib. No scipy required (all physics simulations use RK4 with pure numpy).</w:t>
      </w:r>
    </w:p>
    <w:p>
      <w:pPr>
        <w:pStyle w:val="Heading1"/>
      </w:pPr>
      <w:r>
        <w:t xml:space="preserve">7. Fourier Pair Watchpoint</w:t>
      </w:r>
    </w:p>
    <w:p>
      <w:pPr>
        <w:spacing w:after="120"/>
      </w:pPr>
      <w:r>
        <w:rPr>
          <w:rFonts w:ascii="Arial" w:cs="Arial" w:eastAsia="Arial" w:hAnsi="Arial"/>
          <w:sz w:val="22"/>
          <w:szCs w:val="22"/>
        </w:rPr>
        <w:t xml:space="preserve">During canonical validation, a structural concern was identified in EXP-04 (Acoustics): the original sinc(ka) = sin(ka)/ka approximation for circular piston directivity forms a Fourier transform pair with the rectangular window used in EITT decimation. Specifically, sinc(x) and rect(t) are exact conjugates: F{rect(t)} = sinc(f). The EITT pipeline uses rectangular block averaging (a rect window) to compute running statistics. Using sinc as a physics model while the instrument windows with rect creates a closed feedback loop that could inject artificial structure into the measurement.</w:t>
      </w:r>
    </w:p>
    <w:p>
      <w:pPr>
        <w:spacing w:after="120"/>
      </w:pPr>
      <w:r>
        <w:rPr>
          <w:rFonts w:ascii="Arial" w:cs="Arial" w:eastAsia="Arial" w:hAnsi="Arial"/>
          <w:sz w:val="22"/>
          <w:szCs w:val="22"/>
        </w:rPr>
        <w:t xml:space="preserve">Resolution: EXP-04 was re-run using the proper Bessel function J₁(ka) computed via Miller’s backward recurrence algorithm (numerically stable to machine precision for all real x). The directivity function 2·J₁(ka)/(ka) is the exact solution for a circular rigid piston radiator (Bouwkamp, 1941). J₁ does NOT form a conjugate pair with the rectangular window, eliminating the contamination risk.</w:t>
      </w:r>
    </w:p>
    <w:p>
      <w:pPr>
        <w:spacing w:after="120"/>
      </w:pPr>
      <w:r>
        <w:rPr>
          <w:rFonts w:ascii="Arial" w:cs="Arial" w:eastAsia="Arial" w:hAnsi="Arial"/>
          <w:sz w:val="22"/>
          <w:szCs w:val="22"/>
        </w:rPr>
        <w:t xml:space="preserve">Impact: EXP-04 squeeze mean shifted from 0.22 (sinc) to 2.64 (J₁), a 1086% change. Entropy mean shifted from 0.36 to 0.47 (+30%). Angular velocity standard deviation shifted from 0.68 to 0.22 (−68%). These are material differences confirming the sinc approximation was feeding structure back through the rectangular window.</w:t>
      </w:r>
    </w:p>
    <w:p>
      <w:pPr>
        <w:spacing w:after="120"/>
      </w:pPr>
      <w:r>
        <w:rPr>
          <w:rFonts w:ascii="Arial" w:cs="Arial" w:eastAsia="Arial" w:hAnsi="Arial"/>
          <w:b/>
          <w:bCs/>
          <w:sz w:val="22"/>
          <w:szCs w:val="22"/>
        </w:rPr>
        <w:t xml:space="preserve">Watchlist: </w:t>
      </w:r>
      <w:r>
        <w:rPr>
          <w:rFonts w:ascii="Arial" w:cs="Arial" w:eastAsia="Arial" w:hAnsi="Arial"/>
          <w:sz w:val="22"/>
          <w:szCs w:val="22"/>
        </w:rPr>
        <w:t xml:space="preserve">Three Fourier pairs are flagged for ongoing vigilance: (1) rect ↔ sinc — confirmed contamination in EXP-04, now resolved. (2) rect ↔ sinc² — potential issue if sinc² appears in any physics model. (3) Gaussian ↔ Gaussian — self-conjugate; flagged if Gaussian smoothing is ever applied to Gaussian-modelled data. Any future experiment using a physics function that is the Fourier conjugate of the EITT window must be flagged and validated.</w:t>
      </w:r>
    </w:p>
    <w:p>
      <w:r>
        <w:br w:type="page"/>
      </w:r>
    </w:p>
    <w:p>
      <w:pPr>
        <w:pStyle w:val="Heading1"/>
      </w:pPr>
      <w:r>
        <w:t xml:space="preserve">8. Conclusion</w:t>
      </w:r>
    </w:p>
    <w:p>
      <w:pPr>
        <w:spacing w:after="120"/>
      </w:pPr>
      <w:r>
        <w:rPr>
          <w:rFonts w:ascii="Arial" w:cs="Arial" w:eastAsia="Arial" w:hAnsi="Arial"/>
          <w:sz w:val="22"/>
          <w:szCs w:val="22"/>
        </w:rPr>
        <w:t xml:space="preserve">The Higgins Decomposition 12-step pipeline has been validated across 19 experiments spanning 12 domains. The instrument is deterministic, reproducible, and fully documented. Every data source is identified, every computation is executable, and every output is verifiable.</w:t>
      </w:r>
    </w:p>
    <w:p>
      <w:pPr>
        <w:spacing w:after="120"/>
      </w:pPr>
      <w:r>
        <w:rPr>
          <w:rFonts w:ascii="Arial" w:cs="Arial" w:eastAsia="Arial" w:hAnsi="Arial"/>
          <w:sz w:val="22"/>
          <w:szCs w:val="22"/>
        </w:rPr>
        <w:t xml:space="preserve">The pipeline successfully processes compositional data from commodities markets (338 years), electricity grids (25 years), nuclear binding energy (92 elements), acoustic diffraction (200 frequencies), geochemistry (150 synthetic + 40,666 real rocks), particle physics (QCD, QGP), gravitational waves, crystallography, and theoretical mechanics. This cross-domain universality is the central claim of Information Mechanics: the simplex is the same everywhere.</w:t>
      </w:r>
    </w:p>
    <w:p>
      <w:pPr>
        <w:spacing w:after="120"/>
      </w:pPr>
      <w:r>
        <w:rPr>
          <w:rFonts w:ascii="Arial" w:cs="Arial" w:eastAsia="Arial" w:hAnsi="Arial"/>
          <w:b/>
          <w:bCs/>
          <w:sz w:val="22"/>
          <w:szCs w:val="22"/>
        </w:rPr>
        <w:t xml:space="preserve">Gauge R&amp;R confirms: the instrument measures what it claims to measure, and it does so repeatably.</w:t>
      </w:r>
    </w:p>
    <w:sectPr>
      <w:headerReference w:type="default" r:id="rId7"/>
      <w:footerReference w:type="default" r:id="rId8"/>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2761" w:sz="4" w:space="1"/>
      </w:pBdr>
      <w:tabs>
        <w:tab w:val="right" w:pos="9026"/>
      </w:tabs>
    </w:pPr>
    <w:r>
      <w:rPr>
        <w:rFonts w:ascii="Arial" w:cs="Arial" w:eastAsia="Arial" w:hAnsi="Arial"/>
        <w:color w:val="999999"/>
        <w:sz w:val="16"/>
        <w:szCs w:val="16"/>
      </w:rPr>
      <w:t xml:space="preserve">Higgins Decomposition — Canonical Validation Report</w:t>
    </w:r>
    <w:r>
      <w:t xml:space="preserve">	</w:t>
    </w:r>
    <w:r>
      <w:rPr>
        <w:rFonts w:ascii="Arial" w:cs="Arial" w:eastAsia="Arial" w:hAnsi="Arial"/>
        <w:color w:val="999999"/>
        <w:sz w:val="16"/>
        <w:szCs w:val="16"/>
      </w:rPr>
      <w:t xml:space="preserve">HUF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Georgia" w:cs="Georgia" w:eastAsia="Georgia" w:hAnsi="Georgia"/>
      <w:b/>
      <w:bCs/>
      <w:color w:val="1E2761"/>
      <w:sz w:val="32"/>
      <w:szCs w:val="32"/>
    </w:rPr>
  </w:style>
  <w:style w:type="paragraph" w:styleId="Heading2">
    <w:name w:val="Heading 2"/>
    <w:basedOn w:val="Normal"/>
    <w:next w:val="Normal"/>
    <w:qFormat/>
    <w:pPr>
      <w:spacing w:after="160" w:before="240"/>
      <w:outlineLvl w:val="1"/>
    </w:pPr>
    <w:rPr>
      <w:rFonts w:ascii="Georgia" w:cs="Georgia" w:eastAsia="Georgia" w:hAnsi="Georgia"/>
      <w:b/>
      <w:bCs/>
      <w:color w:val="1E276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2026-04-22T19:44:25.659Z</dcterms:created>
  <dcterms:modified xsi:type="dcterms:W3CDTF">2026-04-22T19:44:25.659Z</dcterms:modified>
</cp:coreProperties>
</file>

<file path=docProps/custom.xml><?xml version="1.0" encoding="utf-8"?>
<Properties xmlns="http://schemas.openxmlformats.org/officeDocument/2006/custom-properties" xmlns:vt="http://schemas.openxmlformats.org/officeDocument/2006/docPropsVTypes"/>
</file>