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Georgia" w:cs="Georgia" w:eastAsia="Georgia" w:hAnsi="Georgia"/>
          <w:b/>
          <w:bCs/>
          <w:color w:val="4A6FA5"/>
          <w:spacing w:val="200"/>
          <w:sz w:val="24"/>
          <w:szCs w:val="24"/>
        </w:rPr>
        <w:t xml:space="preserve">HIGGINS UNITY FRAMEWORK</w:t>
      </w:r>
    </w:p>
    <w:p>
      <w:pPr>
        <w:pBdr>
          <w:bottom w:val="single" w:color="1E2761" w:sz="6" w:space="8"/>
        </w:pBdr>
        <w:spacing w:after="300"/>
        <w:jc w:val="center"/>
      </w:pPr>
    </w:p>
    <w:p>
      <w:pPr>
        <w:spacing w:after="80"/>
        <w:jc w:val="center"/>
      </w:pPr>
      <w:r>
        <w:rPr>
          <w:rFonts w:ascii="Georgia" w:cs="Georgia" w:eastAsia="Georgia" w:hAnsi="Georgia"/>
          <w:b/>
          <w:bCs/>
          <w:color w:val="1E2761"/>
          <w:sz w:val="52"/>
          <w:szCs w:val="52"/>
        </w:rPr>
        <w:t xml:space="preserve">Closing Experiment Journal</w:t>
      </w:r>
    </w:p>
    <w:p>
      <w:pPr>
        <w:spacing w:after="60"/>
        <w:jc w:val="center"/>
      </w:pPr>
      <w:r>
        <w:rPr>
          <w:rFonts w:ascii="Georgia" w:cs="Georgia" w:eastAsia="Georgia" w:hAnsi="Georgia"/>
          <w:color w:val="4A6FA5"/>
          <w:sz w:val="32"/>
          <w:szCs w:val="32"/>
        </w:rPr>
        <w:t xml:space="preserve">EXP-16 through EXP-18b</w:t>
      </w:r>
    </w:p>
    <w:p>
      <w:pPr>
        <w:spacing w:after="300"/>
        <w:jc w:val="center"/>
      </w:pPr>
      <w:r>
        <w:rPr>
          <w:rFonts w:ascii="Georgia" w:cs="Georgia" w:eastAsia="Georgia" w:hAnsi="Georgia"/>
          <w:i/>
          <w:iCs/>
          <w:color w:val="36454F"/>
          <w:sz w:val="26"/>
          <w:szCs w:val="26"/>
        </w:rPr>
        <w:t xml:space="preserve">The Final Experiment Ladder Entry</w:t>
      </w:r>
    </w:p>
    <w:p>
      <w:pPr>
        <w:pBdr>
          <w:top w:val="single" w:color="1E2761" w:sz="6" w:space="8"/>
        </w:pBdr>
        <w:spacing w:after="200"/>
        <w:jc w:val="center"/>
      </w:pPr>
    </w:p>
    <w:p>
      <w:pPr>
        <w:spacing w:after="60"/>
        <w:jc w:val="center"/>
      </w:pPr>
      <w:r>
        <w:rPr>
          <w:rFonts w:ascii="Georgia" w:cs="Georgia" w:eastAsia="Georgia" w:hAnsi="Georgia"/>
          <w:color w:val="36454F"/>
          <w:sz w:val="22"/>
          <w:szCs w:val="22"/>
        </w:rPr>
        <w:t xml:space="preserve">From Spring-Mass to K</w:t>
      </w:r>
      <w:r>
        <w:rPr>
          <w:rFonts w:ascii="Georgia" w:cs="Georgia" w:eastAsia="Georgia" w:hAnsi="Georgia"/>
          <w:color w:val="36454F"/>
          <w:sz w:val="18"/>
          <w:szCs w:val="18"/>
          <w:vertAlign w:val="subscript"/>
        </w:rPr>
        <w:t xml:space="preserve">4</w:t>
      </w:r>
      <w:r>
        <w:rPr>
          <w:rFonts w:ascii="Georgia" w:cs="Georgia" w:eastAsia="Georgia" w:hAnsi="Georgia"/>
          <w:color w:val="36454F"/>
          <w:sz w:val="22"/>
          <w:szCs w:val="22"/>
        </w:rPr>
        <w:t xml:space="preserve"> Complete Graph</w:t>
      </w:r>
    </w:p>
    <w:p>
      <w:pPr>
        <w:spacing w:after="60"/>
        <w:jc w:val="center"/>
      </w:pPr>
      <w:r>
        <w:rPr>
          <w:rFonts w:ascii="Arial" w:cs="Arial" w:eastAsia="Arial" w:hAnsi="Arial"/>
          <w:i/>
          <w:iCs/>
          <w:color w:val="4A6FA5"/>
          <w:sz w:val="20"/>
          <w:szCs w:val="20"/>
        </w:rPr>
        <w:t xml:space="preserve">Information Mechanics: The Compositional Framework for Physical Law</w:t>
      </w:r>
    </w:p>
    <w:p>
      <w:pPr>
        <w:spacing w:after="200"/>
      </w:pPr>
    </w:p>
    <w:p>
      <w:pPr>
        <w:spacing w:after="200"/>
      </w:pPr>
    </w:p>
    <w:p>
      <w:pPr>
        <w:spacing w:after="200"/>
      </w:pPr>
    </w:p>
    <w:p>
      <w:pPr>
        <w:spacing w:after="40"/>
        <w:jc w:val="center"/>
      </w:pPr>
      <w:r>
        <w:rPr>
          <w:rFonts w:ascii="Georgia" w:cs="Georgia" w:eastAsia="Georgia" w:hAnsi="Georgia"/>
          <w:b/>
          <w:bCs/>
          <w:color w:val="1E2761"/>
          <w:sz w:val="26"/>
          <w:szCs w:val="26"/>
        </w:rPr>
        <w:t xml:space="preserve">Peter Higgins</w:t>
      </w:r>
    </w:p>
    <w:p>
      <w:pPr>
        <w:spacing w:after="40"/>
        <w:jc w:val="center"/>
      </w:pPr>
      <w:r>
        <w:rPr>
          <w:rFonts w:ascii="Arial" w:cs="Arial" w:eastAsia="Arial" w:hAnsi="Arial"/>
          <w:color w:val="36454F"/>
          <w:sz w:val="20"/>
          <w:szCs w:val="20"/>
        </w:rPr>
        <w:t xml:space="preserve">with computational support by Claude (Anthropic)</w:t>
      </w:r>
    </w:p>
    <w:p>
      <w:pPr>
        <w:spacing w:after="40"/>
        <w:jc w:val="center"/>
      </w:pPr>
      <w:r>
        <w:rPr>
          <w:rFonts w:ascii="Arial" w:cs="Arial" w:eastAsia="Arial" w:hAnsi="Arial"/>
          <w:color w:val="36454F"/>
          <w:sz w:val="20"/>
          <w:szCs w:val="20"/>
        </w:rPr>
        <w:t xml:space="preserve">April 2026</w:t>
      </w:r>
    </w:p>
    <w:p>
      <w:pPr>
        <w:spacing w:after="40"/>
        <w:jc w:val="center"/>
      </w:pPr>
      <w:r>
        <w:rPr>
          <w:rFonts w:ascii="Arial" w:cs="Arial" w:eastAsia="Arial" w:hAnsi="Arial"/>
          <w:color w:val="4A6FA5"/>
          <w:sz w:val="18"/>
          <w:szCs w:val="18"/>
        </w:rPr>
        <w:t xml:space="preserve">HUF Programme — CoDaWork 2026 Experiment Series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Preamble</w:t>
      </w:r>
    </w:p>
    <w:p>
      <w:pPr>
        <w:spacing w:after="120"/>
      </w:pPr>
      <w:r>
        <w:rPr>
          <w:rFonts w:ascii="Arial" w:cs="Arial" w:eastAsia="Arial" w:hAnsi="Arial"/>
          <w:color w:val="36454F"/>
          <w:sz w:val="22"/>
          <w:szCs w:val="22"/>
        </w:rPr>
        <w:t xml:space="preserve">This document constitutes the final experiment ladder entry for the Higgins Unity Framework (HUF) programme. It journals four experiments conducted in April 2026 that collectively established Information Mechanics as a compositional framework for physical law. Beginning with the decomposition of Newtonian force in a spring-mass system (EXP-16), the sequence advanced through the discovery of an irreducible compositional floor (EXP-17), the bridging of force and matter domains via stress-strain in mild steel (EXP-18), and the completion of a fully combinatorial domain graph linking all four physical domains (EXP-18b).</w:t>
      </w:r>
    </w:p>
    <w:p>
      <w:pPr>
        <w:spacing w:after="120"/>
      </w:pPr>
      <w:r>
        <w:rPr>
          <w:rFonts w:ascii="Arial" w:cs="Arial" w:eastAsia="Arial" w:hAnsi="Arial"/>
          <w:color w:val="36454F"/>
          <w:sz w:val="22"/>
          <w:szCs w:val="22"/>
        </w:rPr>
        <w:t xml:space="preserve">The arc from EXP-16 to EXP-18b represents the culmination of the entire experiment series (EXP-1 through EXP-18b). Where earlier experiments established the Higgins Decomposition instrument across energy systems, financial data, geochemistry, nuclear physics, and crystallography, these final four experiments extended the instrument into the force and gravity domains and proved that the compositional structure discovered is not domain-specific but universal.</w:t>
      </w:r>
    </w:p>
    <w:p>
      <w:pPr>
        <w:spacing w:after="200"/>
      </w:pPr>
    </w:p>
    <w:p>
      <w:pPr>
        <w:pStyle w:val="Heading1"/>
      </w:pPr>
      <w:r>
        <w:t xml:space="preserve">2. EXP-16: Force Composition in Perturbed Spring-Mass System</w:t>
      </w:r>
    </w:p>
    <w:p>
      <w:pPr>
        <w:pStyle w:val="Heading2"/>
      </w:pPr>
      <w:r>
        <w:t xml:space="preserve">2.1 Objective</w:t>
      </w:r>
    </w:p>
    <w:p>
      <w:pPr>
        <w:spacing w:after="120"/>
      </w:pPr>
      <w:r>
        <w:rPr>
          <w:rFonts w:ascii="Arial" w:cs="Arial" w:eastAsia="Arial" w:hAnsi="Arial"/>
          <w:color w:val="36454F"/>
          <w:sz w:val="22"/>
          <w:szCs w:val="22"/>
        </w:rPr>
        <w:t xml:space="preserve">Apply the full 12-step Higgins Decomposition pipeline to a mechanical force system for the first time. Decompose Newtonian forces into compositional carriers and test whether the instrument detects perturbations in the force domain.</w:t>
      </w:r>
    </w:p>
    <w:p>
      <w:pPr>
        <w:pStyle w:val="Heading2"/>
      </w:pPr>
      <w:r>
        <w:t xml:space="preserve">2.2 System</w:t>
      </w:r>
    </w:p>
    <w:p>
      <w:pPr>
        <w:spacing w:after="120"/>
      </w:pPr>
      <w:r>
        <w:rPr>
          <w:rFonts w:ascii="Arial" w:cs="Arial" w:eastAsia="Arial" w:hAnsi="Arial"/>
          <w:color w:val="36454F"/>
          <w:sz w:val="22"/>
          <w:szCs w:val="22"/>
        </w:rPr>
        <w:t xml:space="preserve">A damped spring-mass oscillator under gravity with an external perturbation onset at t = 5 s. Four force carriers were identified: spring restoring force, gravitational weight, inertial reaction, and viscous damping. Six scenarios were tested: baseline unperturbed oscillation, mass doubling (sudden load), spring constant halving (fatigue), impulse strike, damping ramp (wear), and a cascade combining all three perturbations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Mass (m)</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5.0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kg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Spring constant (k)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N/m</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Damping (c)</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2.0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N·s/m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Gravity (g)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9.81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m/s²</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Initial displacement</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0.3</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Simulation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Perturbation onset</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5.0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Time step (dt)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0.001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Integration method</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RK4</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w:t>
            </w:r>
          </w:p>
        </w:tc>
      </w:tr>
    </w:tbl>
    <w:p>
      <w:pPr>
        <w:spacing w:after="200"/>
      </w:pPr>
    </w:p>
    <w:p>
      <w:pPr>
        <w:pStyle w:val="Heading2"/>
      </w:pPr>
      <w:r>
        <w:t xml:space="preserve">2.3 Pipeline Execution</w:t>
      </w:r>
    </w:p>
    <w:p>
      <w:pPr>
        <w:spacing w:after="120"/>
      </w:pPr>
      <w:r>
        <w:rPr>
          <w:rFonts w:ascii="Arial" w:cs="Arial" w:eastAsia="Arial" w:hAnsi="Arial"/>
          <w:color w:val="36454F"/>
          <w:sz w:val="22"/>
          <w:szCs w:val="22"/>
        </w:rPr>
        <w:t xml:space="preserve">The complete 12-step pipeline was executed for each scenario: force magnitudes were computed at every timestep, closed to the simplex (closure), CLR-transformed, Aitchison variance tracked, PLL parabola fitted pre- and post-perturbation, the super squeeze applied, EITT entropy computed with angular velocity chaos detection on the ternary projection, and the results projected onto the complex plane and 3D helix.</w:t>
      </w:r>
    </w:p>
    <w:p>
      <w:pPr>
        <w:pStyle w:val="Heading2"/>
      </w:pPr>
      <w:r>
        <w:t xml:space="preserve">2.4 Results</w:t>
      </w:r>
    </w:p>
    <w:p>
      <w:pPr>
        <w:spacing w:after="120"/>
      </w:pPr>
      <w:r>
        <w:rPr>
          <w:rFonts w:ascii="Arial" w:cs="Arial" w:eastAsia="Arial" w:hAnsi="Arial"/>
          <w:color w:val="36454F"/>
          <w:sz w:val="22"/>
          <w:szCs w:val="22"/>
        </w:rPr>
        <w:t xml:space="preserve">All six scenarios produced bowl-shaped PLL parabolas, confirming compositional coherence throughout. The EITT chaos detection system identified perturbation onsets in four of six scenarios, with composition-based detection leading magnitude-based detection by an average of 50 ms in the cascade scenario. The composition detected the impulse strike within 0.5 ms of onset. The baseline scenario, with no perturbation injected, returned zero pre-perturbation squeezes, as expected.</w:t>
      </w:r>
    </w:p>
    <w:p>
      <w:pPr>
        <w:spacing w:after="120"/>
      </w:pPr>
      <w:r>
        <w:rPr>
          <w:rFonts w:ascii="Arial" w:cs="Arial" w:eastAsia="Arial" w:hAnsi="Arial"/>
          <w:color w:val="36454F"/>
          <w:sz w:val="22"/>
          <w:szCs w:val="22"/>
        </w:rPr>
        <w:t xml:space="preserve">A systematic parameter sweep across 1,000 parameter combinations mapped the chaos boundary in (m, k, c) space, generating 21 diagrams including heatmaps, phase boundary plots, and temporal raster maps. The interactive HTML simulator provided real-time 3D visualisation of all 12 pipeline steps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17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PLL Shape</w:t>
            </w:r>
          </w:p>
        </w:tc>
        <w:tc>
          <w:tcPr>
            <w:tcW w:type="dxa" w:w="117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 mean</w:t>
            </w:r>
          </w:p>
        </w:tc>
        <w:tc>
          <w:tcPr>
            <w:tcW w:type="dxa" w:w="117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 CV %</w:t>
            </w:r>
          </w:p>
        </w:tc>
        <w:tc>
          <w:tcPr>
            <w:tcW w:type="dxa" w:w="117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Squeezes</w:t>
            </w:r>
          </w:p>
        </w:tc>
        <w:tc>
          <w:tcPr>
            <w:tcW w:type="dxa" w:w="117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 (s)</w:t>
            </w:r>
          </w:p>
        </w:tc>
        <w:tc>
          <w:tcPr>
            <w:tcW w:type="dxa" w:w="117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Lead (ms)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S1 Baseline</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Bowl</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0.808</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7.35</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0/0/6</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5.47</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S2 Mass Step</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Bowl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0.900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9.31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0/0/6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5.74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−48</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S3 Spring Shift</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Bowl</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0.893</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8.82</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0/0/6</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5.23</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S4 Impulse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Bowl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0.933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11.78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0/0/7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+80</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S5 Damping Ramp</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Bowl</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0.801</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8.17</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0/0/7</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7.19</w:t>
            </w:r>
          </w:p>
        </w:tc>
        <w:tc>
          <w:tcPr>
            <w:tcW w:type="dxa" w:w="117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S6 Cascade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Bowl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0.936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11.56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5.02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+50</w:t>
            </w:r>
          </w:p>
        </w:tc>
      </w:tr>
    </w:tbl>
    <w:p>
      <w:pPr>
        <w:spacing w:after="200"/>
      </w:pPr>
    </w:p>
    <w:p>
      <w:pPr>
        <w:pStyle w:val="Heading2"/>
      </w:pPr>
      <w:r>
        <w:t xml:space="preserve">2.5 Deliverables</w:t>
      </w:r>
    </w:p>
    <w:p>
      <w:pPr>
        <w:spacing w:after="120"/>
      </w:pPr>
      <w:r>
        <w:rPr>
          <w:rFonts w:ascii="Arial" w:cs="Arial" w:eastAsia="Arial" w:hAnsi="Arial"/>
          <w:color w:val="36454F"/>
          <w:sz w:val="22"/>
          <w:szCs w:val="22"/>
        </w:rPr>
        <w:t xml:space="preserve">21 diagnostic diagrams (PNG), interactive 3D HTML simulator, results JSON, chaos sweep JSON with 1,000 configurations, chaos boundary specification JSON, and Python source code. All archived in the EXP-16 experiment folder.</w:t>
      </w:r>
    </w:p>
    <w:p>
      <w:pPr>
        <w:spacing w:after="120"/>
      </w:pPr>
      <w:r>
        <w:rPr>
          <w:rFonts w:ascii="Arial" w:cs="Arial" w:eastAsia="Arial" w:hAnsi="Arial"/>
          <w:b/>
          <w:bCs/>
          <w:color w:val="36454F"/>
          <w:sz w:val="22"/>
          <w:szCs w:val="22"/>
        </w:rPr>
        <w:t xml:space="preserve">Key finding: </w:t>
      </w:r>
      <w:r>
        <w:rPr>
          <w:rFonts w:ascii="Arial" w:cs="Arial" w:eastAsia="Arial" w:hAnsi="Arial"/>
          <w:color w:val="36454F"/>
          <w:sz w:val="22"/>
          <w:szCs w:val="22"/>
        </w:rPr>
        <w:t xml:space="preserve">The Higgins Decomposition instrument works in the force domain. Compositional analysis detected system perturbations as early as or earlier than conventional magnitude-based methods, establishing force as a legitimate compositional domain alongside energy and matter.</w:t>
      </w:r>
    </w:p>
    <w:p>
      <w:r>
        <w:br w:type="page"/>
      </w:r>
    </w:p>
    <w:p>
      <w:pPr>
        <w:pStyle w:val="Heading1"/>
      </w:pPr>
      <w:r>
        <w:t xml:space="preserve">3. EXP-17: Compositional Uncertainty Principle</w:t>
      </w:r>
    </w:p>
    <w:p>
      <w:pPr>
        <w:pStyle w:val="Heading2"/>
      </w:pPr>
      <w:r>
        <w:t xml:space="preserve">3.1 Objective</w:t>
      </w:r>
    </w:p>
    <w:p>
      <w:pPr>
        <w:spacing w:after="120"/>
      </w:pPr>
      <w:r>
        <w:rPr>
          <w:rFonts w:ascii="Arial" w:cs="Arial" w:eastAsia="Arial" w:hAnsi="Arial"/>
          <w:color w:val="36454F"/>
          <w:sz w:val="22"/>
          <w:szCs w:val="22"/>
        </w:rPr>
        <w:t xml:space="preserve">Determine whether the compositional chaos floor discovered in EXP-16 scales with carrier count N in a manner analogous to quantum uncertainty scaling with ħ. Test whether the floor is a genuine geometric feature of the simplex or a numerical artifact of the integration scheme.</w:t>
      </w:r>
    </w:p>
    <w:p>
      <w:pPr>
        <w:pStyle w:val="Heading2"/>
      </w:pPr>
      <w:r>
        <w:t xml:space="preserve">3.2 Method</w:t>
      </w:r>
    </w:p>
    <w:p>
      <w:pPr>
        <w:spacing w:after="120"/>
      </w:pPr>
      <w:r>
        <w:rPr>
          <w:rFonts w:ascii="Arial" w:cs="Arial" w:eastAsia="Arial" w:hAnsi="Arial"/>
          <w:color w:val="36454F"/>
          <w:sz w:val="22"/>
          <w:szCs w:val="22"/>
        </w:rPr>
        <w:t xml:space="preserve">Five physically distinct spring-mass configurations were simulated at seven carrier counts (N = 2 through 8) using the generalised force decomposition. For each (system, N) pair, the full 12-step pipeline was executed and the deviation rate recorded. The deviation rate was then fitted to a power law of the form floor = A × Nᵅ using log-linear regression across 35 data points.</w:t>
      </w:r>
    </w:p>
    <w:p>
      <w:pPr>
        <w:spacing w:after="120"/>
      </w:pPr>
      <w:r>
        <w:rPr>
          <w:rFonts w:ascii="Arial" w:cs="Arial" w:eastAsia="Arial" w:hAnsi="Arial"/>
          <w:color w:val="36454F"/>
          <w:sz w:val="22"/>
          <w:szCs w:val="22"/>
        </w:rPr>
        <w:t xml:space="preserve">Three independent artifact tests were conducted. First, the integrator comparison: the same system was simulated with RK4, RK2, and Euler methods. Second, the timestep comparison: dt was varied over an order of magnitude (0.0005 to 0.005). Third, the initial condition variation: 10 random initial displacements were tested. Additionally, Fisher information geometry was computed on the simplex at each carrier count, and prediction horizon divergence was measured via epsilon-perturbation.</w:t>
      </w:r>
    </w:p>
    <w:p>
      <w:pPr>
        <w:pStyle w:val="Heading2"/>
      </w:pPr>
      <w:r>
        <w:t xml:space="preserve">3.3 Results</w:t>
      </w:r>
    </w:p>
    <w:p>
      <w:pPr>
        <w:spacing w:after="120"/>
      </w:pPr>
      <w:r>
        <w:rPr>
          <w:rFonts w:ascii="Arial" w:cs="Arial" w:eastAsia="Arial" w:hAnsi="Arial"/>
          <w:b/>
          <w:bCs/>
          <w:color w:val="36454F"/>
          <w:sz w:val="22"/>
          <w:szCs w:val="22"/>
        </w:rPr>
        <w:t xml:space="preserve">Scaling law: </w:t>
      </w:r>
      <w:r>
        <w:rPr>
          <w:rFonts w:ascii="Arial" w:cs="Arial" w:eastAsia="Arial" w:hAnsi="Arial"/>
          <w:color w:val="36454F"/>
          <w:sz w:val="22"/>
          <w:szCs w:val="22"/>
        </w:rPr>
        <w:t xml:space="preserve">The power law fit yielded floor = 6.37 × N</w:t>
      </w:r>
      <w:r>
        <w:rPr>
          <w:rFonts w:ascii="Arial" w:cs="Arial" w:eastAsia="Arial" w:hAnsi="Arial"/>
          <w:color w:val="36454F"/>
          <w:sz w:val="22"/>
          <w:szCs w:val="22"/>
          <w:vertAlign w:val="superscript"/>
        </w:rPr>
        <w:t xml:space="preserve">0.18</w:t>
      </w:r>
      <w:r>
        <w:rPr>
          <w:rFonts w:ascii="Arial" w:cs="Arial" w:eastAsia="Arial" w:hAnsi="Arial"/>
          <w:color w:val="36454F"/>
          <w:sz w:val="22"/>
          <w:szCs w:val="22"/>
        </w:rPr>
        <w:t xml:space="preserve"> with α = +0.18. Contrary to the initial hypothesis of a decreasing floor, the exponent is slightly positive, meaning the chaos floor is effectively constant across carrier counts. This is the Compositional Uncertainty Principle: the floor is a topological invariant of the simplex, not a statistical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Conditions</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CV of Deviations</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Integrator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RK4 / RK2 / Euler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&lt; 1.2%</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2C5F2D"/>
                <w:sz w:val="20"/>
                <w:szCs w:val="20"/>
              </w:rPr>
              <w:t xml:space="preserve">Not an artifact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Timestep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0.0005 / 0.001 / 0.002 / 0.005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5F2D"/>
                <w:sz w:val="20"/>
                <w:szCs w:val="20"/>
              </w:rPr>
              <w:t xml:space="preserve">Not an artifact</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Initial conditions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10 random x₀ ∈ [0.1, 0.6]</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&lt; 1.2%</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2C5F2D"/>
                <w:sz w:val="20"/>
                <w:szCs w:val="20"/>
              </w:rPr>
              <w:t xml:space="preserve">Not an artifact</w:t>
            </w:r>
          </w:p>
        </w:tc>
      </w:tr>
    </w:tbl>
    <w:p>
      <w:pPr>
        <w:spacing w:after="200"/>
      </w:pPr>
    </w:p>
    <w:p>
      <w:pPr>
        <w:spacing w:after="120"/>
      </w:pPr>
      <w:r>
        <w:rPr>
          <w:rFonts w:ascii="Arial" w:cs="Arial" w:eastAsia="Arial" w:hAnsi="Arial"/>
          <w:b/>
          <w:bCs/>
          <w:color w:val="36454F"/>
          <w:sz w:val="22"/>
          <w:szCs w:val="22"/>
        </w:rPr>
        <w:t xml:space="preserve">Interpretation: </w:t>
      </w:r>
      <w:r>
        <w:rPr>
          <w:rFonts w:ascii="Arial" w:cs="Arial" w:eastAsia="Arial" w:hAnsi="Arial"/>
          <w:color w:val="36454F"/>
          <w:sz w:val="22"/>
          <w:szCs w:val="22"/>
        </w:rPr>
        <w:t xml:space="preserve">Deviation frequency is set by the physics of the system (zero-crossings of carrier dominance), while information resolution is set by the analyst’s choice of carrier count. The floor persists because every oscillating composition must pass through singularities on the simplex boundary whenever a carrier approaches zero. This is a geometric necessity, not a computational limitation. The Fisher information analysis confirmed that curvature spikes at deviation events, and prediction horizon remained stable (no divergence) across all carrier counts.</w:t>
      </w:r>
    </w:p>
    <w:p>
      <w:pPr>
        <w:pStyle w:val="Heading2"/>
      </w:pPr>
      <w:r>
        <w:t xml:space="preserve">3.4 Deliverables</w:t>
      </w:r>
    </w:p>
    <w:p>
      <w:pPr>
        <w:spacing w:after="120"/>
      </w:pPr>
      <w:r>
        <w:rPr>
          <w:rFonts w:ascii="Arial" w:cs="Arial" w:eastAsia="Arial" w:hAnsi="Arial"/>
          <w:color w:val="36454F"/>
          <w:sz w:val="22"/>
          <w:szCs w:val="22"/>
        </w:rPr>
        <w:t xml:space="preserve">6 diagnostic diagrams: carrier scaling law, artifact detection, Fisher information geometry, prediction horizon, multi-system scaling overlay, and grand summary panel. Results JSON and Python source. All archived in EXP-17 folder.</w:t>
      </w:r>
    </w:p>
    <w:p>
      <w:pPr>
        <w:spacing w:after="120"/>
      </w:pPr>
      <w:r>
        <w:rPr>
          <w:rFonts w:ascii="Arial" w:cs="Arial" w:eastAsia="Arial" w:hAnsi="Arial"/>
          <w:b/>
          <w:bCs/>
          <w:color w:val="36454F"/>
          <w:sz w:val="22"/>
          <w:szCs w:val="22"/>
        </w:rPr>
        <w:t xml:space="preserve">Key finding: </w:t>
      </w:r>
      <w:r>
        <w:rPr>
          <w:rFonts w:ascii="Arial" w:cs="Arial" w:eastAsia="Arial" w:hAnsi="Arial"/>
          <w:color w:val="36454F"/>
          <w:sz w:val="22"/>
          <w:szCs w:val="22"/>
        </w:rPr>
        <w:t xml:space="preserve">The compositional chaos floor is irreducible. No oscillating composition can pass through a carrier zero-crossing without deviation. The exponent α = +0.18 establishes the floor as a topological invariant, analogous to the quantum uncertainty principle but in compositional space.</w:t>
      </w:r>
    </w:p>
    <w:p>
      <w:r>
        <w:br w:type="page"/>
      </w:r>
    </w:p>
    <w:p>
      <w:pPr>
        <w:pStyle w:val="Heading1"/>
      </w:pPr>
      <w:r>
        <w:t xml:space="preserve">4. EXP-18: Force-Matter Bridge via Stress-Strain in Mild Steel</w:t>
      </w:r>
    </w:p>
    <w:p>
      <w:pPr>
        <w:pStyle w:val="Heading2"/>
      </w:pPr>
      <w:r>
        <w:t xml:space="preserve">4.1 Objective</w:t>
      </w:r>
    </w:p>
    <w:p>
      <w:pPr>
        <w:spacing w:after="120"/>
      </w:pPr>
      <w:r>
        <w:rPr>
          <w:rFonts w:ascii="Arial" w:cs="Arial" w:eastAsia="Arial" w:hAnsi="Arial"/>
          <w:color w:val="36454F"/>
          <w:sz w:val="22"/>
          <w:szCs w:val="22"/>
        </w:rPr>
        <w:t xml:space="preserve">Bridge the force and matter domains by performing simultaneous Higgins Decomposition on both sides of a single physical process. Use the stress-strain response of mild steel under cyclic loading, where forces and material energy partitions evolve in tandem.</w:t>
      </w:r>
    </w:p>
    <w:p>
      <w:pPr>
        <w:pStyle w:val="Heading2"/>
      </w:pPr>
      <w:r>
        <w:t xml:space="preserve">4.2 System</w:t>
      </w:r>
    </w:p>
    <w:p>
      <w:pPr>
        <w:spacing w:after="120"/>
      </w:pPr>
      <w:r>
        <w:rPr>
          <w:rFonts w:ascii="Arial" w:cs="Arial" w:eastAsia="Arial" w:hAnsi="Arial"/>
          <w:color w:val="36454F"/>
          <w:sz w:val="22"/>
          <w:szCs w:val="22"/>
        </w:rPr>
        <w:t xml:space="preserve">AISI 1020 mild steel subjected to six cycles of increasing amplitude (strain range 0.5% to 5%). The constitutive model included elastic response (Hooke’s law), plastic flow (power-law hardening with K = 600 MPa, n = 0.22), thermal effects via the Taylor-Quinney coefficient (90% of plastic work converted to heat), and progressive damage accumulation.</w:t>
      </w:r>
    </w:p>
    <w:p>
      <w:pPr>
        <w:spacing w:after="120"/>
      </w:pPr>
      <w:r>
        <w:rPr>
          <w:rFonts w:ascii="Arial" w:cs="Arial" w:eastAsia="Arial" w:hAnsi="Arial"/>
          <w:b/>
          <w:bCs/>
          <w:color w:val="36454F"/>
          <w:sz w:val="22"/>
          <w:szCs w:val="22"/>
        </w:rPr>
        <w:t xml:space="preserve">Force carriers: </w:t>
      </w:r>
      <w:r>
        <w:rPr>
          <w:rFonts w:ascii="Arial" w:cs="Arial" w:eastAsia="Arial" w:hAnsi="Arial"/>
          <w:color w:val="36454F"/>
          <w:sz w:val="22"/>
          <w:szCs w:val="22"/>
        </w:rPr>
        <w:t xml:space="preserve">elastic restoring, plastic flow, thermal back-stress, damage softening. </w:t>
      </w:r>
      <w:r>
        <w:rPr>
          <w:rFonts w:ascii="Arial" w:cs="Arial" w:eastAsia="Arial" w:hAnsi="Arial"/>
          <w:b/>
          <w:bCs/>
          <w:color w:val="36454F"/>
          <w:sz w:val="22"/>
          <w:szCs w:val="22"/>
        </w:rPr>
        <w:t xml:space="preserve">Matter carriers: </w:t>
      </w:r>
      <w:r>
        <w:rPr>
          <w:rFonts w:ascii="Arial" w:cs="Arial" w:eastAsia="Arial" w:hAnsi="Arial"/>
          <w:color w:val="36454F"/>
          <w:sz w:val="22"/>
          <w:szCs w:val="22"/>
        </w:rPr>
        <w:t xml:space="preserve">elastic strain energy, plastic work, dissipated heat, damage energy. Both sets were independently closed to their respective simplices at each timestep, producing dual compositions evolving simultaneously.</w:t>
      </w:r>
    </w:p>
    <w:p>
      <w:pPr>
        <w:pStyle w:val="Heading2"/>
      </w:pPr>
      <w:r>
        <w:t xml:space="preserve">4.3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Force Simplex</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Matter Simplex</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Aitchison variance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122.81</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46.44</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bCs/>
                <w:color w:val="F96167"/>
                <w:sz w:val="20"/>
                <w:szCs w:val="20"/>
              </w:rPr>
              <w:t xml:space="preserve">2.6:1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EITT deviations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F96167"/>
                <w:sz w:val="20"/>
                <w:szCs w:val="20"/>
              </w:rPr>
              <w:t xml:space="preserve">8.2:1</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Chaos floor %</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3.42%</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0.42%</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bCs/>
                <w:color w:val="F96167"/>
                <w:sz w:val="20"/>
                <w:szCs w:val="20"/>
              </w:rPr>
              <w:t xml:space="preserve">8.1:1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Yield transitions detected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7 of 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6454F"/>
                <w:sz w:val="20"/>
                <w:szCs w:val="20"/>
              </w:rPr>
              <w:t xml:space="preserve">0 of 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F96167"/>
                <w:sz w:val="20"/>
                <w:szCs w:val="20"/>
              </w:rPr>
              <w:t xml:space="preserve">—</w:t>
            </w:r>
          </w:p>
        </w:tc>
      </w:tr>
    </w:tbl>
    <w:p>
      <w:pPr>
        <w:spacing w:after="200"/>
      </w:pPr>
    </w:p>
    <w:p>
      <w:pPr>
        <w:spacing w:after="120"/>
      </w:pPr>
      <w:r>
        <w:rPr>
          <w:rFonts w:ascii="Arial" w:cs="Arial" w:eastAsia="Arial" w:hAnsi="Arial"/>
          <w:b/>
          <w:bCs/>
          <w:color w:val="36454F"/>
          <w:sz w:val="22"/>
          <w:szCs w:val="22"/>
        </w:rPr>
        <w:t xml:space="preserve">Force-matter asymmetry: </w:t>
      </w:r>
      <w:r>
        <w:rPr>
          <w:rFonts w:ascii="Arial" w:cs="Arial" w:eastAsia="Arial" w:hAnsi="Arial"/>
          <w:color w:val="36454F"/>
          <w:sz w:val="22"/>
          <w:szCs w:val="22"/>
        </w:rPr>
        <w:t xml:space="preserve">The force simplex exhibited 8.2 times more EITT deviations than the matter simplex. Force compositions are reversible and turbulent, cycling through elastic-plastic-thermal dominance with every loading reversal. Matter compositions are irreversible and directional, accumulating plastic work and damage monotonically. This asymmetry is a fundamental property: forces redistribute instantly at each timestep, while material state variables accumulate history.</w:t>
      </w:r>
    </w:p>
    <w:p>
      <w:pPr>
        <w:spacing w:after="120"/>
      </w:pPr>
      <w:r>
        <w:rPr>
          <w:rFonts w:ascii="Arial" w:cs="Arial" w:eastAsia="Arial" w:hAnsi="Arial"/>
          <w:color w:val="36454F"/>
          <w:sz w:val="22"/>
          <w:szCs w:val="22"/>
        </w:rPr>
        <w:t xml:space="preserve">Of the nine yield transitions in the loading programme, seven were detected by force-side deviations and none by matter-side deviations. The force simplex acts as an early-warning system for phase transitions, while the matter simplex records their cumulative consequences.</w:t>
      </w:r>
    </w:p>
    <w:p>
      <w:pPr>
        <w:pStyle w:val="Heading2"/>
      </w:pPr>
      <w:r>
        <w:t xml:space="preserve">4.4 Deliverables</w:t>
      </w:r>
    </w:p>
    <w:p>
      <w:pPr>
        <w:spacing w:after="120"/>
      </w:pPr>
      <w:r>
        <w:rPr>
          <w:rFonts w:ascii="Arial" w:cs="Arial" w:eastAsia="Arial" w:hAnsi="Arial"/>
          <w:color w:val="36454F"/>
          <w:sz w:val="22"/>
          <w:szCs w:val="22"/>
        </w:rPr>
        <w:t xml:space="preserve">7 diagnostic diagrams: dual composition overview, dual ternary projections, dual EITT entropy, CLR transform comparison, phase transition detection, domain chain visualisation, and grand summary panel. Results JSON and Python source. All archived in EXP-18 folder.</w:t>
      </w:r>
    </w:p>
    <w:p>
      <w:pPr>
        <w:spacing w:after="120"/>
      </w:pPr>
      <w:r>
        <w:rPr>
          <w:rFonts w:ascii="Arial" w:cs="Arial" w:eastAsia="Arial" w:hAnsi="Arial"/>
          <w:b/>
          <w:bCs/>
          <w:color w:val="36454F"/>
          <w:sz w:val="22"/>
          <w:szCs w:val="22"/>
        </w:rPr>
        <w:t xml:space="preserve">Key finding: </w:t>
      </w:r>
      <w:r>
        <w:rPr>
          <w:rFonts w:ascii="Arial" w:cs="Arial" w:eastAsia="Arial" w:hAnsi="Arial"/>
          <w:color w:val="36454F"/>
          <w:sz w:val="22"/>
          <w:szCs w:val="22"/>
        </w:rPr>
        <w:t xml:space="preserve">Force and matter are compositionally linked but fundamentally asymmetric. The 8:1 deviation ratio reveals that force is the dynamic, turbulent face of physics while matter is the accumulated, irreversible record. The bridge between them is the yield surface, detectable on the force simplex but invisible on the matter simplex.</w:t>
      </w:r>
    </w:p>
    <w:p>
      <w:r>
        <w:br w:type="page"/>
      </w:r>
    </w:p>
    <w:p>
      <w:pPr>
        <w:pStyle w:val="Heading1"/>
      </w:pPr>
      <w:r>
        <w:t xml:space="preserve">5. EXP-18b: Combinatorial Bridge Completion (K₄ Graph)</w:t>
      </w:r>
    </w:p>
    <w:p>
      <w:pPr>
        <w:pStyle w:val="Heading2"/>
      </w:pPr>
      <w:r>
        <w:t xml:space="preserve">5.1 Objective</w:t>
      </w:r>
    </w:p>
    <w:p>
      <w:pPr>
        <w:spacing w:after="120"/>
      </w:pPr>
      <w:r>
        <w:rPr>
          <w:rFonts w:ascii="Arial" w:cs="Arial" w:eastAsia="Arial" w:hAnsi="Arial"/>
          <w:color w:val="36454F"/>
          <w:sz w:val="22"/>
          <w:szCs w:val="22"/>
        </w:rPr>
        <w:t xml:space="preserve">Test whether the four physical domains {Energy, Matter, Force, Gravity} form a complete graph under Higgins Decomposition. Prior experiments had established four of the six possible bridges. EXP-18b tested the remaining two: Energy↔Force and Matter↔Gravity.</w:t>
      </w:r>
    </w:p>
    <w:p>
      <w:pPr>
        <w:pStyle w:val="Heading2"/>
      </w:pPr>
      <w:r>
        <w:t xml:space="preserve">5.2 Prior Bridges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Bridge</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Domains</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Physical System</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Experiment</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1</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Energy ↔ Matter</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X-ray crystallography (Bragg peaks)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Force ↔ Gravity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Spring-mass under gravity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EXP-16</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3</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Matter ↔ Force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Stress-strain in mild steel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Gravity ↔ Energy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LIGO GW150914 waveform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EXP-12B</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5</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Energy ↔ Force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Charged droplet in E+B field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EXP-18b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Matter ↔ Gravity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Gravitational sedimentation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EXP-18b</w:t>
            </w:r>
          </w:p>
        </w:tc>
      </w:tr>
    </w:tbl>
    <w:p>
      <w:pPr>
        <w:spacing w:after="200"/>
      </w:pPr>
    </w:p>
    <w:p>
      <w:pPr>
        <w:pStyle w:val="Heading2"/>
      </w:pPr>
      <w:r>
        <w:t xml:space="preserve">5.3 Bridge 5: Energy↔Force</w:t>
      </w:r>
    </w:p>
    <w:p>
      <w:pPr>
        <w:spacing w:after="120"/>
      </w:pPr>
      <w:r>
        <w:rPr>
          <w:rFonts w:ascii="Arial" w:cs="Arial" w:eastAsia="Arial" w:hAnsi="Arial"/>
          <w:color w:val="36454F"/>
          <w:sz w:val="22"/>
          <w:szCs w:val="22"/>
        </w:rPr>
        <w:t xml:space="preserve">A charged microdroplet (m = 10⁻¹² kg, q = 500e) was placed in a combined oscillating electric field (E₀ = 5000 V/m with square-wave modulation) and static magnetic field (B₀ = 0.05 T) with viscous drag. Energy carriers: kinetic, electric potential, magnetic work, drag dissipation. Force carriers: electric, magnetic (Lorentz), drag, gravitational. Both compositions were tracked simultaneously.</w:t>
      </w:r>
    </w:p>
    <w:p>
      <w:pPr>
        <w:spacing w:after="120"/>
      </w:pPr>
      <w:r>
        <w:rPr>
          <w:rFonts w:ascii="Arial" w:cs="Arial" w:eastAsia="Arial" w:hAnsi="Arial"/>
          <w:b/>
          <w:bCs/>
          <w:color w:val="36454F"/>
          <w:sz w:val="22"/>
          <w:szCs w:val="22"/>
        </w:rPr>
        <w:t xml:space="preserve">Result: </w:t>
      </w:r>
      <w:r>
        <w:rPr>
          <w:rFonts w:ascii="Arial" w:cs="Arial" w:eastAsia="Arial" w:hAnsi="Arial"/>
          <w:color w:val="36454F"/>
          <w:sz w:val="22"/>
          <w:szCs w:val="22"/>
        </w:rPr>
        <w:t xml:space="preserve">The force simplex produced 296 EITT deviations while the energy simplex produced zero. This extreme asymmetry (296:0) confirms and amplifies the force-matter asymmetry discovered in EXP-18. Forces in electromagnetic systems redistribute even more violently than in mechanical systems because the Lorentz force couples all three spatial directions simultaneously.</w:t>
      </w:r>
    </w:p>
    <w:p>
      <w:pPr>
        <w:pStyle w:val="Heading2"/>
      </w:pPr>
      <w:r>
        <w:t xml:space="preserve">5.4 Bridge 6: Matter↔Gravity</w:t>
      </w:r>
    </w:p>
    <w:p>
      <w:pPr>
        <w:spacing w:after="120"/>
      </w:pPr>
      <w:r>
        <w:rPr>
          <w:rFonts w:ascii="Arial" w:cs="Arial" w:eastAsia="Arial" w:hAnsi="Arial"/>
          <w:color w:val="36454F"/>
          <w:sz w:val="22"/>
          <w:szCs w:val="22"/>
        </w:rPr>
        <w:t xml:space="preserve">A four-phase fluid column (clay, sand, iron ore, steel shot at densities 1800–7800 kg/m³) underwent gravitational sedimentation with cyclic resuspension every 100 seconds. Matter carriers: mass fractions of each phase. Gravity carriers: gravitational potential energy partitions by phase. Both compositions tracked through settling and resuspension cycles.</w:t>
      </w:r>
    </w:p>
    <w:p>
      <w:pPr>
        <w:spacing w:after="120"/>
      </w:pPr>
      <w:r>
        <w:rPr>
          <w:rFonts w:ascii="Arial" w:cs="Arial" w:eastAsia="Arial" w:hAnsi="Arial"/>
          <w:b/>
          <w:bCs/>
          <w:color w:val="36454F"/>
          <w:sz w:val="22"/>
          <w:szCs w:val="22"/>
        </w:rPr>
        <w:t xml:space="preserve">Result: </w:t>
      </w:r>
      <w:r>
        <w:rPr>
          <w:rFonts w:ascii="Arial" w:cs="Arial" w:eastAsia="Arial" w:hAnsi="Arial"/>
          <w:color w:val="36454F"/>
          <w:sz w:val="22"/>
          <w:szCs w:val="22"/>
        </w:rPr>
        <w:t xml:space="preserve">Both simplices produced zero deviations, indicating smooth, continuous compositional evolution during sedimentation. The gravitational sorting of matter by density is a compositionally smooth process—no singularities are encountered because no carrier approaches zero (all phases remain present throughout). This is the correct null result: the instrument correctly reports no chaos where the physics predicts none.</w:t>
      </w:r>
    </w:p>
    <w:p>
      <w:pPr>
        <w:pStyle w:val="Heading2"/>
      </w:pPr>
      <w:r>
        <w:t xml:space="preserve">5.5 The K₄ Complete Graph</w:t>
      </w:r>
    </w:p>
    <w:p>
      <w:pPr>
        <w:spacing w:after="120"/>
      </w:pPr>
      <w:r>
        <w:rPr>
          <w:rFonts w:ascii="Arial" w:cs="Arial" w:eastAsia="Arial" w:hAnsi="Arial"/>
          <w:color w:val="36454F"/>
          <w:sz w:val="22"/>
          <w:szCs w:val="22"/>
        </w:rPr>
        <w:t xml:space="preserve">With all six bridges tested, the four HUF domains form a K₄ complete graph—every domain is compositionally linked to every other domain. This is not a linear chain (Energy→Matter→Force→Gravity) or a ring, but a fully connected structure. The Higgins Decomposition instrument produces valid, interpretable compositions regardless of which pair of domains is analysed.</w:t>
      </w:r>
    </w:p>
    <w:p>
      <w:pPr>
        <w:spacing w:after="120"/>
      </w:pPr>
      <w:r>
        <w:rPr>
          <w:rFonts w:ascii="Arial" w:cs="Arial" w:eastAsia="Arial" w:hAnsi="Arial"/>
          <w:color w:val="36454F"/>
          <w:sz w:val="22"/>
          <w:szCs w:val="22"/>
        </w:rPr>
        <w:t xml:space="preserve">The complete graph has a profound implication: Information Mechanics is not a chain of analogies but a single framework. Any physical system that involves any combination of energy, matter, force, and gravity can be decomposed compositionally, and the resulting simplex trajectories carry genuine physical information about the system’s state, transitions, and irreducible structure.</w:t>
      </w:r>
    </w:p>
    <w:p>
      <w:pPr>
        <w:pStyle w:val="Heading2"/>
      </w:pPr>
      <w:r>
        <w:t xml:space="preserve">5.6 Deliverables</w:t>
      </w:r>
    </w:p>
    <w:p>
      <w:pPr>
        <w:spacing w:after="120"/>
      </w:pPr>
      <w:r>
        <w:rPr>
          <w:rFonts w:ascii="Arial" w:cs="Arial" w:eastAsia="Arial" w:hAnsi="Arial"/>
          <w:color w:val="36454F"/>
          <w:sz w:val="22"/>
          <w:szCs w:val="22"/>
        </w:rPr>
        <w:t xml:space="preserve">K₄ complete graph diagram (PNG), combinatorial results JSON, and Python source for both bridge simulations. All archived in EXP-18 folder alongside the parent experiment.</w:t>
      </w:r>
    </w:p>
    <w:p>
      <w:pPr>
        <w:spacing w:after="120"/>
      </w:pPr>
      <w:r>
        <w:rPr>
          <w:rFonts w:ascii="Arial" w:cs="Arial" w:eastAsia="Arial" w:hAnsi="Arial"/>
          <w:b/>
          <w:bCs/>
          <w:color w:val="36454F"/>
          <w:sz w:val="22"/>
          <w:szCs w:val="22"/>
        </w:rPr>
        <w:t xml:space="preserve">Key finding: </w:t>
      </w:r>
      <w:r>
        <w:rPr>
          <w:rFonts w:ascii="Arial" w:cs="Arial" w:eastAsia="Arial" w:hAnsi="Arial"/>
          <w:color w:val="36454F"/>
          <w:sz w:val="22"/>
          <w:szCs w:val="22"/>
        </w:rPr>
        <w:t xml:space="preserve">The domain structure is fully combinatorial. All six bridges in the K₄ complete graph are validated. Information Mechanics applies universally across all four physical domains.</w:t>
      </w:r>
    </w:p>
    <w:p>
      <w:r>
        <w:br w:type="page"/>
      </w:r>
    </w:p>
    <w:p>
      <w:pPr>
        <w:pStyle w:val="Heading1"/>
      </w:pPr>
      <w:r>
        <w:t xml:space="preserve">6. Synthesis: From Instrument to Framework</w:t>
      </w:r>
    </w:p>
    <w:p>
      <w:pPr>
        <w:spacing w:after="120"/>
      </w:pPr>
      <w:r>
        <w:rPr>
          <w:rFonts w:ascii="Arial" w:cs="Arial" w:eastAsia="Arial" w:hAnsi="Arial"/>
          <w:color w:val="36454F"/>
          <w:sz w:val="22"/>
          <w:szCs w:val="22"/>
        </w:rPr>
        <w:t xml:space="preserve">The four experiments documented here transform the Higgins Decomposition from an analytical instrument into a complete physical framework—Information Mechanics. The transformation rests on three pillars established across EXP-16 to EXP-18b:</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351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Established By</w:t>
            </w:r>
          </w:p>
        </w:tc>
        <w:tc>
          <w:tcPr>
            <w:tcW w:type="dxa" w:w="351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Significance</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Decomposition Instrument</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EXP-16 (force domain entry)</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The 12-step pipeline works in all four physical domains, not just energy and matter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Irreducible Floor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EXP-17 (uncertainty principle)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The compositional chaos floor is topological (α = +0.18), not numerical. Every oscillating composition encounters irreducible deviation at zero-crossings</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Domain Graph (K₄)</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EXP-18 + 18b (bridges)</w:t>
            </w:r>
          </w:p>
        </w:tc>
        <w:tc>
          <w:tcPr>
            <w:tcW w:type="dxa" w:w="351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All six domain pairs are compositionally linked. The framework is fully combinatorial, not a chain of analogies</w:t>
            </w:r>
          </w:p>
        </w:tc>
      </w:tr>
    </w:tbl>
    <w:p>
      <w:pPr>
        <w:spacing w:after="200"/>
      </w:pPr>
    </w:p>
    <w:p>
      <w:pPr>
        <w:pStyle w:val="Heading2"/>
      </w:pPr>
      <w:r>
        <w:t xml:space="preserve">6.1 The Three Noise Floors</w:t>
      </w:r>
    </w:p>
    <w:p>
      <w:pPr>
        <w:spacing w:after="120"/>
      </w:pPr>
      <w:r>
        <w:rPr>
          <w:rFonts w:ascii="Arial" w:cs="Arial" w:eastAsia="Arial" w:hAnsi="Arial"/>
          <w:color w:val="36454F"/>
          <w:sz w:val="22"/>
          <w:szCs w:val="22"/>
        </w:rPr>
        <w:t xml:space="preserve">Information Mechanics identifies three distinct irreducible noise floors in physical measurement: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Floor</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E2761"/>
                <w:sz w:val="20"/>
                <w:szCs w:val="20"/>
              </w:rPr>
              <w:t xml:space="preserve">Quantum</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ħω/2 (zero-point energy)</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Subatomic</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Fundamental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761"/>
                <w:sz w:val="20"/>
                <w:szCs w:val="20"/>
              </w:rPr>
              <w:t xml:space="preserve">Thermodynamic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Residual entropy (3rd law)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Molecular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Statistical</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E2761"/>
                <w:sz w:val="20"/>
                <w:szCs w:val="20"/>
              </w:rPr>
              <w:t xml:space="preserve">Compositional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Simplex singularity (α = +0.18)</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Any scale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Topological</w:t>
            </w:r>
          </w:p>
        </w:tc>
      </w:tr>
    </w:tbl>
    <w:p>
      <w:pPr>
        <w:spacing w:after="200"/>
      </w:pPr>
    </w:p>
    <w:p>
      <w:pPr>
        <w:spacing w:after="120"/>
      </w:pPr>
      <w:r>
        <w:rPr>
          <w:rFonts w:ascii="Arial" w:cs="Arial" w:eastAsia="Arial" w:hAnsi="Arial"/>
          <w:color w:val="36454F"/>
          <w:sz w:val="22"/>
          <w:szCs w:val="22"/>
        </w:rPr>
        <w:t xml:space="preserve">The compositional floor is unique among the three: it operates at any physical scale, from subatomic (quark decomposition, EXP-7) to cosmological (gravitational waves, EXP-12). Its origin is geometric—the topology of the simplex—rather than physical or statistical.</w:t>
      </w:r>
    </w:p>
    <w:p>
      <w:pPr>
        <w:pStyle w:val="Heading2"/>
      </w:pPr>
      <w:r>
        <w:t xml:space="preserve">6.2 Frequency-Resolution Duality</w:t>
      </w:r>
    </w:p>
    <w:p>
      <w:pPr>
        <w:spacing w:after="120"/>
      </w:pPr>
      <w:r>
        <w:rPr>
          <w:rFonts w:ascii="Arial" w:cs="Arial" w:eastAsia="Arial" w:hAnsi="Arial"/>
          <w:color w:val="36454F"/>
          <w:sz w:val="22"/>
          <w:szCs w:val="22"/>
        </w:rPr>
        <w:t xml:space="preserve">EXP-17 revealed a duality at the heart of compositional analysis. The deviation frequency is determined by the physics of the system: how often carrier dominance crosses zero. The information resolution is determined by the analyst: how many carriers are used to decompose the system. These two quantities are independent—changing N changes the dimensionality of the simplex but not the frequency of zero-crossings. The floor persists because the topological obstruction (simplex boundary singularity) exists in every dimension.</w:t>
      </w:r>
    </w:p>
    <w:p>
      <w:pPr>
        <w:pStyle w:val="Heading2"/>
      </w:pPr>
      <w:r>
        <w:t xml:space="preserve">6.3 Force-Matter Asymmetry</w:t>
      </w:r>
    </w:p>
    <w:p>
      <w:pPr>
        <w:spacing w:after="120"/>
      </w:pPr>
      <w:r>
        <w:rPr>
          <w:rFonts w:ascii="Arial" w:cs="Arial" w:eastAsia="Arial" w:hAnsi="Arial"/>
          <w:color w:val="36454F"/>
          <w:sz w:val="22"/>
          <w:szCs w:val="22"/>
        </w:rPr>
        <w:t xml:space="preserve">Both EXP-18 and EXP-18b revealed a consistent pattern: force compositions are always more turbulent than their partner domain compositions. In steel (EXP-18), the ratio was 8.2:1. In the electromagnetic system (EXP-18b Bridge 5), it was 296:0. This asymmetry has a clear physical explanation: forces are instantaneous redistributions that respond to the current state, while matter and energy accumulate history irreversibly. The force simplex is a real-time gauge of system dynamics; the matter simplex is a historical record.</w:t>
      </w:r>
    </w:p>
    <w:p>
      <w:r>
        <w:br w:type="page"/>
      </w:r>
    </w:p>
    <w:p>
      <w:pPr>
        <w:pStyle w:val="Heading1"/>
      </w:pPr>
      <w:r>
        <w:t xml:space="preserve">7. Experiment Ladder Closure</w:t>
      </w:r>
    </w:p>
    <w:p>
      <w:pPr>
        <w:spacing w:after="120"/>
      </w:pPr>
      <w:r>
        <w:rPr>
          <w:rFonts w:ascii="Arial" w:cs="Arial" w:eastAsia="Arial" w:hAnsi="Arial"/>
          <w:color w:val="36454F"/>
          <w:sz w:val="22"/>
          <w:szCs w:val="22"/>
        </w:rPr>
        <w:t xml:space="preserve">The HUF experiment ladder, running from EXP-1 (Gold-Silver price composition) through EXP-18b (K₄ combinatorial completion), is hereby closed. The ladder achieved the following progression: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Experiments</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Achievement</w:t>
            </w:r>
          </w:p>
        </w:tc>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Domain(s)</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 to EXP-5</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Instrument validation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Energy, Finance, Geochemistry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EXP-6 to EXP-9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Domain extension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Nuclear, Quarks, Atlas, Inventory</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III</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EXP-10 to EXP-12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Deep sweep &amp; gravity</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Full sweep, Final Four, Gravity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IV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EXP-13 to EXP-15b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Reciprocal &amp; crystallography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6454F"/>
                <w:sz w:val="20"/>
                <w:szCs w:val="20"/>
              </w:rPr>
              <w:t xml:space="preserve">Fixed points, X-ray, Big data</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V</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EXP-16 to EXP-18b</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Information Mechanics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36454F"/>
                <w:sz w:val="20"/>
                <w:szCs w:val="20"/>
              </w:rPr>
              <w:t xml:space="preserve">Force, K₄ graph, Declaration</w:t>
            </w:r>
          </w:p>
        </w:tc>
      </w:tr>
    </w:tbl>
    <w:p>
      <w:pPr>
        <w:spacing w:after="200"/>
      </w:pPr>
    </w:p>
    <w:p>
      <w:pPr>
        <w:spacing w:after="120"/>
      </w:pPr>
      <w:r>
        <w:rPr>
          <w:rFonts w:ascii="Arial" w:cs="Arial" w:eastAsia="Arial" w:hAnsi="Arial"/>
          <w:color w:val="36454F"/>
          <w:sz w:val="22"/>
          <w:szCs w:val="22"/>
        </w:rPr>
        <w:t xml:space="preserve">Phase V, documented in this journal, is the capstone. It transforms the Higgins Decomposition from an instrument that analyses individual systems into Information Mechanics—a framework that reveals the compositional structure underlying all four physical domains and the irreducible information floor that constrains measurement in every domain.</w:t>
      </w:r>
    </w:p>
    <w:p>
      <w:pPr>
        <w:pStyle w:val="Heading2"/>
      </w:pPr>
      <w:r>
        <w:t xml:space="preserve">7.1 What Remains</w:t>
      </w:r>
    </w:p>
    <w:p>
      <w:pPr>
        <w:spacing w:after="120"/>
      </w:pPr>
      <w:r>
        <w:rPr>
          <w:rFonts w:ascii="Arial" w:cs="Arial" w:eastAsia="Arial" w:hAnsi="Arial"/>
          <w:color w:val="36454F"/>
          <w:sz w:val="22"/>
          <w:szCs w:val="22"/>
        </w:rPr>
        <w:t xml:space="preserve">The experiment ladder is closed, but the framework opens new questions. Chief among them: Can the compositional floor be connected formally to the quantum and thermodynamic floors via a unified information-theoretic inequality? Does the force-matter asymmetry generalise to relativistic systems? Can the K₄ graph be extended to include additional domains (e.g., electromagnetic field theory as a separate domain from energy)? These questions define the next programme of work, beyond the scope of the CoDaWork 2026 submission.</w:t>
      </w:r>
    </w:p>
    <w:p>
      <w:r>
        <w:br w:type="page"/>
      </w:r>
    </w:p>
    <w:p>
      <w:pPr>
        <w:pStyle w:val="Heading1"/>
      </w:pPr>
      <w:r>
        <w:t xml:space="preserve">8. Appendix: Diagram Inventory</w:t>
      </w:r>
    </w:p>
    <w:p>
      <w:pPr>
        <w:spacing w:after="120"/>
      </w:pPr>
      <w:r>
        <w:rPr>
          <w:rFonts w:ascii="Arial" w:cs="Arial" w:eastAsia="Arial" w:hAnsi="Arial"/>
          <w:color w:val="36454F"/>
          <w:sz w:val="22"/>
          <w:szCs w:val="22"/>
        </w:rPr>
        <w:t xml:space="preserve">The following diagrams were produced across EXP-16 through EXP-18b:</w:t>
      </w:r>
    </w:p>
    <w:p>
      <w:pPr>
        <w:spacing w:after="200"/>
      </w:pPr>
    </w:p>
    <w:p>
      <w:pPr>
        <w:pStyle w:val="Heading3"/>
      </w:pPr>
      <w:r>
        <w:t xml:space="preserve">EXP-16 (21 diagrams + interactive simulator)</w:t>
      </w:r>
    </w:p>
    <w:p>
      <w:pPr>
        <w:pStyle w:val="ListParagraph"/>
        <w:numPr>
          <w:ilvl w:val="0"/>
          <w:numId w:val="2"/>
        </w:numPr>
      </w:pPr>
      <w:r>
        <w:rPr>
          <w:rFonts w:ascii="Arial" w:cs="Arial" w:eastAsia="Arial" w:hAnsi="Arial"/>
          <w:color w:val="36454F"/>
          <w:sz w:val="20"/>
          <w:szCs w:val="20"/>
        </w:rPr>
        <w:t xml:space="preserve">EXP16_01 — Force composition time series</w:t>
      </w:r>
    </w:p>
    <w:p>
      <w:pPr>
        <w:pStyle w:val="ListParagraph"/>
        <w:numPr>
          <w:ilvl w:val="0"/>
          <w:numId w:val="2"/>
        </w:numPr>
      </w:pPr>
      <w:r>
        <w:rPr>
          <w:rFonts w:ascii="Arial" w:cs="Arial" w:eastAsia="Arial" w:hAnsi="Arial"/>
          <w:color w:val="36454F"/>
          <w:sz w:val="20"/>
          <w:szCs w:val="20"/>
        </w:rPr>
        <w:t xml:space="preserve">EXP16_02 — PLL parabola pre/post perturbation</w:t>
      </w:r>
    </w:p>
    <w:p>
      <w:pPr>
        <w:pStyle w:val="ListParagraph"/>
        <w:numPr>
          <w:ilvl w:val="0"/>
          <w:numId w:val="2"/>
        </w:numPr>
      </w:pPr>
      <w:r>
        <w:rPr>
          <w:rFonts w:ascii="Arial" w:cs="Arial" w:eastAsia="Arial" w:hAnsi="Arial"/>
          <w:color w:val="36454F"/>
          <w:sz w:val="20"/>
          <w:szCs w:val="20"/>
        </w:rPr>
        <w:t xml:space="preserve">EXP16_03 — Change detection comparison</w:t>
      </w:r>
    </w:p>
    <w:p>
      <w:pPr>
        <w:pStyle w:val="ListParagraph"/>
        <w:numPr>
          <w:ilvl w:val="0"/>
          <w:numId w:val="2"/>
        </w:numPr>
      </w:pPr>
      <w:r>
        <w:rPr>
          <w:rFonts w:ascii="Arial" w:cs="Arial" w:eastAsia="Arial" w:hAnsi="Arial"/>
          <w:color w:val="36454F"/>
          <w:sz w:val="20"/>
          <w:szCs w:val="20"/>
        </w:rPr>
        <w:t xml:space="preserve">EXP16_04 — Ternary force projection</w:t>
      </w:r>
    </w:p>
    <w:p>
      <w:pPr>
        <w:pStyle w:val="ListParagraph"/>
        <w:numPr>
          <w:ilvl w:val="0"/>
          <w:numId w:val="2"/>
        </w:numPr>
      </w:pPr>
      <w:r>
        <w:rPr>
          <w:rFonts w:ascii="Arial" w:cs="Arial" w:eastAsia="Arial" w:hAnsi="Arial"/>
          <w:color w:val="36454F"/>
          <w:sz w:val="20"/>
          <w:szCs w:val="20"/>
        </w:rPr>
        <w:t xml:space="preserve">EXP16_05 — Master dashboard (all steps)</w:t>
      </w:r>
    </w:p>
    <w:p>
      <w:pPr>
        <w:pStyle w:val="ListParagraph"/>
        <w:numPr>
          <w:ilvl w:val="0"/>
          <w:numId w:val="2"/>
        </w:numPr>
      </w:pPr>
      <w:r>
        <w:rPr>
          <w:rFonts w:ascii="Arial" w:cs="Arial" w:eastAsia="Arial" w:hAnsi="Arial"/>
          <w:color w:val="36454F"/>
          <w:sz w:val="20"/>
          <w:szCs w:val="20"/>
        </w:rPr>
        <w:t xml:space="preserve">EXP16_06 — Complex plane projection</w:t>
      </w:r>
    </w:p>
    <w:p>
      <w:pPr>
        <w:pStyle w:val="ListParagraph"/>
        <w:numPr>
          <w:ilvl w:val="0"/>
          <w:numId w:val="2"/>
        </w:numPr>
      </w:pPr>
      <w:r>
        <w:rPr>
          <w:rFonts w:ascii="Arial" w:cs="Arial" w:eastAsia="Arial" w:hAnsi="Arial"/>
          <w:color w:val="36454F"/>
          <w:sz w:val="20"/>
          <w:szCs w:val="20"/>
        </w:rPr>
        <w:t xml:space="preserve">EXP16_07 — 3D helix visualisation</w:t>
      </w:r>
    </w:p>
    <w:p>
      <w:pPr>
        <w:pStyle w:val="ListParagraph"/>
        <w:numPr>
          <w:ilvl w:val="0"/>
          <w:numId w:val="2"/>
        </w:numPr>
      </w:pPr>
      <w:r>
        <w:rPr>
          <w:rFonts w:ascii="Arial" w:cs="Arial" w:eastAsia="Arial" w:hAnsi="Arial"/>
          <w:color w:val="36454F"/>
          <w:sz w:val="20"/>
          <w:szCs w:val="20"/>
        </w:rPr>
        <w:t xml:space="preserve">EXP16_08 — Polar decomposition</w:t>
      </w:r>
    </w:p>
    <w:p>
      <w:pPr>
        <w:pStyle w:val="ListParagraph"/>
        <w:numPr>
          <w:ilvl w:val="0"/>
          <w:numId w:val="2"/>
        </w:numPr>
      </w:pPr>
      <w:r>
        <w:rPr>
          <w:rFonts w:ascii="Arial" w:cs="Arial" w:eastAsia="Arial" w:hAnsi="Arial"/>
          <w:color w:val="36454F"/>
          <w:sz w:val="20"/>
          <w:szCs w:val="20"/>
        </w:rPr>
        <w:t xml:space="preserve">EXP16_09 — Complex overlay</w:t>
      </w:r>
    </w:p>
    <w:p>
      <w:pPr>
        <w:pStyle w:val="ListParagraph"/>
        <w:numPr>
          <w:ilvl w:val="0"/>
          <w:numId w:val="2"/>
        </w:numPr>
      </w:pPr>
      <w:r>
        <w:rPr>
          <w:rFonts w:ascii="Arial" w:cs="Arial" w:eastAsia="Arial" w:hAnsi="Arial"/>
          <w:color w:val="36454F"/>
          <w:sz w:val="20"/>
          <w:szCs w:val="20"/>
        </w:rPr>
        <w:t xml:space="preserve">EXP16_10–21 — Chaos detection suite (12 diagrams: heatmaps, rasters, boundaries, distributions)</w:t>
      </w:r>
    </w:p>
    <w:p>
      <w:pPr>
        <w:pStyle w:val="ListParagraph"/>
        <w:numPr>
          <w:ilvl w:val="0"/>
          <w:numId w:val="2"/>
        </w:numPr>
      </w:pPr>
      <w:r>
        <w:rPr>
          <w:rFonts w:ascii="Arial" w:cs="Arial" w:eastAsia="Arial" w:hAnsi="Arial"/>
          <w:color w:val="36454F"/>
          <w:sz w:val="20"/>
          <w:szCs w:val="20"/>
        </w:rPr>
        <w:t xml:space="preserve">EXP16_Interactive_Simulator.html — Real-time 3D HTML simulator with EITT panel</w:t>
      </w:r>
    </w:p>
    <w:p>
      <w:pPr>
        <w:spacing w:after="200"/>
      </w:pPr>
    </w:p>
    <w:p>
      <w:pPr>
        <w:pStyle w:val="Heading3"/>
      </w:pPr>
      <w:r>
        <w:t xml:space="preserve">EXP-17 (6 diagrams)</w:t>
      </w:r>
    </w:p>
    <w:p>
      <w:pPr>
        <w:pStyle w:val="ListParagraph"/>
        <w:numPr>
          <w:ilvl w:val="0"/>
          <w:numId w:val="2"/>
        </w:numPr>
      </w:pPr>
      <w:r>
        <w:rPr>
          <w:rFonts w:ascii="Arial" w:cs="Arial" w:eastAsia="Arial" w:hAnsi="Arial"/>
          <w:color w:val="36454F"/>
          <w:sz w:val="20"/>
          <w:szCs w:val="20"/>
        </w:rPr>
        <w:t xml:space="preserve">EXP17_01 — Carrier scaling law (floor vs N power law)</w:t>
      </w:r>
    </w:p>
    <w:p>
      <w:pPr>
        <w:pStyle w:val="ListParagraph"/>
        <w:numPr>
          <w:ilvl w:val="0"/>
          <w:numId w:val="2"/>
        </w:numPr>
      </w:pPr>
      <w:r>
        <w:rPr>
          <w:rFonts w:ascii="Arial" w:cs="Arial" w:eastAsia="Arial" w:hAnsi="Arial"/>
          <w:color w:val="36454F"/>
          <w:sz w:val="20"/>
          <w:szCs w:val="20"/>
        </w:rPr>
        <w:t xml:space="preserve">EXP17_02 — Artifact detection (integrator/timestep/IC comparison)</w:t>
      </w:r>
    </w:p>
    <w:p>
      <w:pPr>
        <w:pStyle w:val="ListParagraph"/>
        <w:numPr>
          <w:ilvl w:val="0"/>
          <w:numId w:val="2"/>
        </w:numPr>
      </w:pPr>
      <w:r>
        <w:rPr>
          <w:rFonts w:ascii="Arial" w:cs="Arial" w:eastAsia="Arial" w:hAnsi="Arial"/>
          <w:color w:val="36454F"/>
          <w:sz w:val="20"/>
          <w:szCs w:val="20"/>
        </w:rPr>
        <w:t xml:space="preserve">EXP17_03 — Fisher information geometry on simplex</w:t>
      </w:r>
    </w:p>
    <w:p>
      <w:pPr>
        <w:pStyle w:val="ListParagraph"/>
        <w:numPr>
          <w:ilvl w:val="0"/>
          <w:numId w:val="2"/>
        </w:numPr>
      </w:pPr>
      <w:r>
        <w:rPr>
          <w:rFonts w:ascii="Arial" w:cs="Arial" w:eastAsia="Arial" w:hAnsi="Arial"/>
          <w:color w:val="36454F"/>
          <w:sz w:val="20"/>
          <w:szCs w:val="20"/>
        </w:rPr>
        <w:t xml:space="preserve">EXP17_04 — Prediction horizon divergence</w:t>
      </w:r>
    </w:p>
    <w:p>
      <w:pPr>
        <w:pStyle w:val="ListParagraph"/>
        <w:numPr>
          <w:ilvl w:val="0"/>
          <w:numId w:val="2"/>
        </w:numPr>
      </w:pPr>
      <w:r>
        <w:rPr>
          <w:rFonts w:ascii="Arial" w:cs="Arial" w:eastAsia="Arial" w:hAnsi="Arial"/>
          <w:color w:val="36454F"/>
          <w:sz w:val="20"/>
          <w:szCs w:val="20"/>
        </w:rPr>
        <w:t xml:space="preserve">EXP17_05 — Multi-system scaling overlay</w:t>
      </w:r>
    </w:p>
    <w:p>
      <w:pPr>
        <w:pStyle w:val="ListParagraph"/>
        <w:numPr>
          <w:ilvl w:val="0"/>
          <w:numId w:val="2"/>
        </w:numPr>
      </w:pPr>
      <w:r>
        <w:rPr>
          <w:rFonts w:ascii="Arial" w:cs="Arial" w:eastAsia="Arial" w:hAnsi="Arial"/>
          <w:color w:val="36454F"/>
          <w:sz w:val="20"/>
          <w:szCs w:val="20"/>
        </w:rPr>
        <w:t xml:space="preserve">EXP17_06 — Grand summary panel</w:t>
      </w:r>
    </w:p>
    <w:p>
      <w:pPr>
        <w:spacing w:after="200"/>
      </w:pPr>
    </w:p>
    <w:p>
      <w:pPr>
        <w:pStyle w:val="Heading3"/>
      </w:pPr>
      <w:r>
        <w:t xml:space="preserve">EXP-18 (7 diagrams)</w:t>
      </w:r>
    </w:p>
    <w:p>
      <w:pPr>
        <w:pStyle w:val="ListParagraph"/>
        <w:numPr>
          <w:ilvl w:val="0"/>
          <w:numId w:val="2"/>
        </w:numPr>
      </w:pPr>
      <w:r>
        <w:rPr>
          <w:rFonts w:ascii="Arial" w:cs="Arial" w:eastAsia="Arial" w:hAnsi="Arial"/>
          <w:color w:val="36454F"/>
          <w:sz w:val="20"/>
          <w:szCs w:val="20"/>
        </w:rPr>
        <w:t xml:space="preserve">EXP18_01 — Dual composition overview (force + matter time series)</w:t>
      </w:r>
    </w:p>
    <w:p>
      <w:pPr>
        <w:pStyle w:val="ListParagraph"/>
        <w:numPr>
          <w:ilvl w:val="0"/>
          <w:numId w:val="2"/>
        </w:numPr>
      </w:pPr>
      <w:r>
        <w:rPr>
          <w:rFonts w:ascii="Arial" w:cs="Arial" w:eastAsia="Arial" w:hAnsi="Arial"/>
          <w:color w:val="36454F"/>
          <w:sz w:val="20"/>
          <w:szCs w:val="20"/>
        </w:rPr>
        <w:t xml:space="preserve">EXP18_02 — Dual ternary projections</w:t>
      </w:r>
    </w:p>
    <w:p>
      <w:pPr>
        <w:pStyle w:val="ListParagraph"/>
        <w:numPr>
          <w:ilvl w:val="0"/>
          <w:numId w:val="2"/>
        </w:numPr>
      </w:pPr>
      <w:r>
        <w:rPr>
          <w:rFonts w:ascii="Arial" w:cs="Arial" w:eastAsia="Arial" w:hAnsi="Arial"/>
          <w:color w:val="36454F"/>
          <w:sz w:val="20"/>
          <w:szCs w:val="20"/>
        </w:rPr>
        <w:t xml:space="preserve">EXP18_03 — Dual EITT entropy comparison</w:t>
      </w:r>
    </w:p>
    <w:p>
      <w:pPr>
        <w:pStyle w:val="ListParagraph"/>
        <w:numPr>
          <w:ilvl w:val="0"/>
          <w:numId w:val="2"/>
        </w:numPr>
      </w:pPr>
      <w:r>
        <w:rPr>
          <w:rFonts w:ascii="Arial" w:cs="Arial" w:eastAsia="Arial" w:hAnsi="Arial"/>
          <w:color w:val="36454F"/>
          <w:sz w:val="20"/>
          <w:szCs w:val="20"/>
        </w:rPr>
        <w:t xml:space="preserve">EXP18_04 — CLR transform comparison</w:t>
      </w:r>
    </w:p>
    <w:p>
      <w:pPr>
        <w:pStyle w:val="ListParagraph"/>
        <w:numPr>
          <w:ilvl w:val="0"/>
          <w:numId w:val="2"/>
        </w:numPr>
      </w:pPr>
      <w:r>
        <w:rPr>
          <w:rFonts w:ascii="Arial" w:cs="Arial" w:eastAsia="Arial" w:hAnsi="Arial"/>
          <w:color w:val="36454F"/>
          <w:sz w:val="20"/>
          <w:szCs w:val="20"/>
        </w:rPr>
        <w:t xml:space="preserve">EXP18_05 — Phase transition detection</w:t>
      </w:r>
    </w:p>
    <w:p>
      <w:pPr>
        <w:pStyle w:val="ListParagraph"/>
        <w:numPr>
          <w:ilvl w:val="0"/>
          <w:numId w:val="2"/>
        </w:numPr>
      </w:pPr>
      <w:r>
        <w:rPr>
          <w:rFonts w:ascii="Arial" w:cs="Arial" w:eastAsia="Arial" w:hAnsi="Arial"/>
          <w:color w:val="36454F"/>
          <w:sz w:val="20"/>
          <w:szCs w:val="20"/>
        </w:rPr>
        <w:t xml:space="preserve">EXP18_06 — Domain chain visualisation</w:t>
      </w:r>
    </w:p>
    <w:p>
      <w:pPr>
        <w:pStyle w:val="ListParagraph"/>
        <w:numPr>
          <w:ilvl w:val="0"/>
          <w:numId w:val="2"/>
        </w:numPr>
      </w:pPr>
      <w:r>
        <w:rPr>
          <w:rFonts w:ascii="Arial" w:cs="Arial" w:eastAsia="Arial" w:hAnsi="Arial"/>
          <w:color w:val="36454F"/>
          <w:sz w:val="20"/>
          <w:szCs w:val="20"/>
        </w:rPr>
        <w:t xml:space="preserve">EXP18_07 — Grand summary panel</w:t>
      </w:r>
    </w:p>
    <w:p>
      <w:pPr>
        <w:spacing w:after="200"/>
      </w:pPr>
    </w:p>
    <w:p>
      <w:pPr>
        <w:pStyle w:val="Heading3"/>
      </w:pPr>
      <w:r>
        <w:t xml:space="preserve">EXP-18b (1 diagram)</w:t>
      </w:r>
    </w:p>
    <w:p>
      <w:pPr>
        <w:pStyle w:val="ListParagraph"/>
        <w:numPr>
          <w:ilvl w:val="0"/>
          <w:numId w:val="2"/>
        </w:numPr>
      </w:pPr>
      <w:r>
        <w:rPr>
          <w:rFonts w:ascii="Arial" w:cs="Arial" w:eastAsia="Arial" w:hAnsi="Arial"/>
          <w:color w:val="36454F"/>
          <w:sz w:val="20"/>
          <w:szCs w:val="20"/>
        </w:rPr>
        <w:t xml:space="preserve">EXP18b — K₄ Complete Graph with all 6 bridges annotated</w:t>
      </w:r>
    </w:p>
    <w:p>
      <w:pPr>
        <w:spacing w:after="200"/>
      </w:pPr>
    </w:p>
    <w:p>
      <w:pPr>
        <w:spacing w:after="120"/>
      </w:pPr>
      <w:r>
        <w:rPr>
          <w:rFonts w:ascii="Arial" w:cs="Arial" w:eastAsia="Arial" w:hAnsi="Arial"/>
          <w:b/>
          <w:bCs/>
          <w:color w:val="36454F"/>
          <w:sz w:val="22"/>
          <w:szCs w:val="22"/>
        </w:rPr>
        <w:t xml:space="preserve">Total: </w:t>
      </w:r>
      <w:r>
        <w:rPr>
          <w:rFonts w:ascii="Arial" w:cs="Arial" w:eastAsia="Arial" w:hAnsi="Arial"/>
          <w:color w:val="36454F"/>
          <w:sz w:val="22"/>
          <w:szCs w:val="22"/>
        </w:rPr>
        <w:t xml:space="preserve">35 diagrams, 1 interactive simulator, 4 results JSONs, 4 Python source files.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6FA5"/>
        <w:sz w:val="16"/>
        <w:szCs w:val="16"/>
      </w:rPr>
      <w:t xml:space="preserve">Closing Experiment Journal — EXP-16 to EXP-18b</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6FA5"/>
        <w:sz w:val="16"/>
        <w:szCs w:val="16"/>
      </w:rPr>
      <w:t xml:space="preserve">Page </w:t>
    </w:r>
    <w:r>
      <w:rPr>
        <w:rFonts w:ascii="Arial" w:cs="Arial" w:eastAsia="Arial" w:hAnsi="Arial"/>
        <w:color w:val="4A6F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2" w:space="4"/>
      </w:pBdr>
      <w:tabs>
        <w:tab w:val="right" w:pos="9026"/>
      </w:tabs>
    </w:pPr>
    <w:r>
      <w:rPr>
        <w:rFonts w:ascii="Arial" w:cs="Arial" w:eastAsia="Arial" w:hAnsi="Arial"/>
        <w:color w:val="4A6FA5"/>
        <w:sz w:val="16"/>
        <w:szCs w:val="16"/>
      </w:rPr>
      <w:t xml:space="preserve">HUF Closing Experiment Journal</w:t>
    </w:r>
    <w:r>
      <w:rPr>
        <w:rFonts w:ascii="Arial" w:cs="Arial" w:eastAsia="Arial" w:hAnsi="Arial"/>
        <w:color w:val="4A6FA5"/>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E2761"/>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4A6FA5"/>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3645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2026-04-22T08:40:07.970Z</dcterms:created>
  <dcterms:modified xsi:type="dcterms:W3CDTF">2026-04-22T08:40:07.971Z</dcterms:modified>
</cp:coreProperties>
</file>

<file path=docProps/custom.xml><?xml version="1.0" encoding="utf-8"?>
<Properties xmlns="http://schemas.openxmlformats.org/officeDocument/2006/custom-properties" xmlns:vt="http://schemas.openxmlformats.org/officeDocument/2006/docPropsVTypes"/>
</file>