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4A6FA5"/>
          <w:spacing w:val="200"/>
          <w:sz w:val="24"/>
          <w:szCs w:val="24"/>
        </w:rPr>
        <w:t xml:space="preserve">HIGGINS UNITY FRAMEWORK</w:t>
      </w:r>
    </w:p>
    <w:p>
      <w:pPr>
        <w:pBdr>
          <w:bottom w:val="single" w:color="1E2761" w:sz="6" w:space="8"/>
        </w:pBdr>
        <w:spacing w:after="300"/>
        <w:jc w:val="center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E2761"/>
          <w:sz w:val="52"/>
          <w:szCs w:val="52"/>
        </w:rPr>
        <w:t xml:space="preserve">Complete Experiment Summary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4A6FA5"/>
          <w:sz w:val="32"/>
          <w:szCs w:val="32"/>
        </w:rPr>
        <w:t xml:space="preserve">EXP-01 through EXP-18b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36454F"/>
          <w:sz w:val="26"/>
          <w:szCs w:val="26"/>
        </w:rPr>
        <w:t xml:space="preserve">The Full Experiment Ladder</w:t>
      </w:r>
    </w:p>
    <w:p>
      <w:pPr>
        <w:pBdr>
          <w:top w:val="single" w:color="1E2761" w:sz="6" w:space="8"/>
        </w:pBdr>
        <w:spacing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36454F"/>
          <w:sz w:val="22"/>
          <w:szCs w:val="22"/>
        </w:rPr>
        <w:t xml:space="preserve">21 Experiments · 4 Physical Domains · 44 Orders of Magnitude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A6FA5"/>
          <w:sz w:val="20"/>
          <w:szCs w:val="20"/>
        </w:rPr>
        <w:t xml:space="preserve">From Gold Prices to Gravitational Waves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Peter Higgins</w:t>
      </w:r>
    </w:p>
    <w:p>
      <w:pPr>
        <w:spacing w:after="40"/>
        <w:jc w:val="center"/>
      </w:pPr>
      <w:r>
        <w:rPr>
          <w:rFonts w:ascii="Arial" w:cs="Arial" w:eastAsia="Arial" w:hAnsi="Arial"/>
          <w:color w:val="36454F"/>
          <w:sz w:val="20"/>
          <w:szCs w:val="20"/>
        </w:rPr>
        <w:t xml:space="preserve">with computational support by Claude (Anthropic)</w:t>
      </w:r>
    </w:p>
    <w:p>
      <w:pPr>
        <w:jc w:val="center"/>
      </w:pPr>
      <w:r>
        <w:rPr>
          <w:rFonts w:ascii="Arial" w:cs="Arial" w:eastAsia="Arial" w:hAnsi="Arial"/>
          <w:color w:val="4A6FA5"/>
          <w:sz w:val="18"/>
          <w:szCs w:val="18"/>
        </w:rPr>
        <w:t xml:space="preserve">April 2026 — HUF Programme — CoDaWork 2026 Experiment Series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Master Experiment Registry</w:t>
      </w:r>
    </w:p>
    <w:p>
      <w:pPr>
        <w:spacing w:after="120"/>
      </w:pPr>
      <w:r>
        <w:rPr>
          <w:rFonts w:ascii="Arial" w:cs="Arial" w:eastAsia="Arial" w:hAnsi="Arial"/>
          <w:color w:val="36454F"/>
          <w:sz w:val="22"/>
          <w:szCs w:val="22"/>
        </w:rPr>
        <w:t xml:space="preserve">The following table catalogues every experiment in the HUF programme, from the founding gold/silver price ratio test (EXP-01) through the K₄ combinatorial completion (EXP-18b). Experiments are grouped into five phases, each representing a step in the progression from instrument validation to the Information Mechanics framework.</w:t>
      </w:r>
    </w:p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1440"/>
        <w:gridCol w:w="7560"/>
        <w:gridCol w:w="180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Domain(s)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I: Instrument Validation (EXP-01 to EXP-05b)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Gold/Silver Price Ratio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Finance / Energy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338-year gold/silver ratio. First PLL parabola. Vertex at 1751 (gold standard).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PLL vertex, bowl shape confirmed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US State Energy Mix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Energy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10 US states, 8/10 pass PLL lock. CA vertex at 2014 (renewables transition).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8/10 lock rate, vertex at policy shift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Uranium Decay + SEMF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Nuclear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3,554 nuclides via AME2020. Nuclear binding as CoDa composition. SEMF validated.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Nuclear CoDa validated, 3554 nuclides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Microphone Valley Response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Acoustics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Acoustic filter response. Shape flip at crossover order 4→5. Bowl→hill transition.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Shape flip at order boundary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Geochemistry (Igneous Rocks)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Geochemistry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28 igneous rocks. Vertex at andesite-dacite boundary. Whole-rock SiO₂ composition.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Vertex at petrogenetic boundary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EXP-05b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Geochemistry Big Data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Geochemistry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40,666 rocks from GEOROC. 37/39 TAS classification types pass.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37/39 types pass, real-world data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II: Domain Extension (EXP-06 to EXP-09)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Nuclear Fusion Budget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Nuclear / Energy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17 reactor designs. IFR reference established. Krell cascade identified.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IFR reference, Krell instability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QCD / Quark Composition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Particle Physics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Proton mass budget, spin crisis, exotic hadrons, CKM matrix as CoDa.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Quark domain validated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Cross-Boundary Handshakes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Physics (multi)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QGP freeze-out (0.27% EITT). NS EOS comparison (6.7% drift flag).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Cross-boundary CoDa method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Master Inventory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All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75 systems catalogued. 100% coverage. 44 orders of magnitude spanned.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75 systems, 44 orders of magnitude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III: Deep Sweep and Gravity (EXP-10 to EXP-12)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Full Sweep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All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All mapped/untouched systems completed: CKM, PMNS, Higgs, etc.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Complete sweep achieved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Final Four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Cosmology / Nuclear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Dark matter ratio, Z-chains, NS EOS comparison, stellar mass sequence.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Cosmological domain entered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Gravity Deep Study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Gravity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24 gravity systems. GW150914/GW170817 compositional analysis. LIGO waveforms.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Gravity domain established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IV: Reciprocal and Crystallography (EXP-13 to EXP-15b)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Simplex Parabola Hunter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7/10 D=3 systems show ILR parabolas. 7 calibration theorems (10⁻¹⁵ precision). Bell S=2.2018.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Calibration proof, Bell reinterpretation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Fixed-Point Selection (HFSP)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Nuclear / Geochemistry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AME2020 nuclides. Ne-20 attractor. Super squeeze: 28-constant transcendental. Intermediate rocks decoded.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Ne-20 attractor, 1/π→φ² transition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X-Ray Crystallography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Energy / Matter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Cromer-Mann factors, 6 crystals. Olivine R²=0.992. First ENERGY domain. Dual-anchor validated.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Energy domain, dual-anchor 1/π→φ²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EXP-15b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Crystallography Big Data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Energy / Matter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1,013 structures from COD. Big data crystallographic test.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Big data crystallography validated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61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V: Information Mechanics (EXP-16 to EXP-18b) — FINAL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Spring-Mass Force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Force (Mechanics)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Perturbed spring-mass. 6 scenarios. 21 diagrams. EITT chaos detection. Interactive simulator.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Force domain entry, chaos detection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Compositional Uncertainty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Force (Theory)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Carrier scaling N=2–8. Floor = 6.37×N⁰·¹⁸. Artifact-free (CV&lt;1.2%). Fisher info.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Irreducible floor, α=+0.18 invariant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Force-Matter Bridge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Force + Matter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Stress-strain in AISI 1020. Dual simplex. 41 vs 5 deviations. 8:1 asymmetry.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Force-matter asymmetry 8:1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EXP-18b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K₄ Complete Graph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All 4 domains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2 final bridges: Energy↔Force, Matter↔Gravity. 6/6 bridges. Fully combinatorial.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K₄ complete, all bridges validated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Programme Statistics</w:t>
      </w:r>
    </w:p>
    <w:p>
      <w:pPr>
        <w:spacing w:after="2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Total experiments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21 (EXP-01 through EXP-18b)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Total systems analysed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75+ (Master Inventory EXP-09)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Physical scale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44 orders of magnitude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Domains covered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4 (Energy, Matter, Force, Gravity)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Domain bridges validated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6/6 (K₄ complete graph)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PLL parabolas fitted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Hundreds across all experiments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Super squeeze matches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82+ (crystallography alone)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Compositional floor exponent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α = +0.18 (topological invariant)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Artifact test CV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&lt; 1.2% (integrator, timestep, IC)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Force-matter asymmetry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8:1 (steel), 296:0 (EM)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Calibration precision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10⁻¹⁵ (EXP-13)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Crystallographic R²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0.992 (olivine, EXP-15)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Diagrams produced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200+ across all experiments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Interactive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HTML simulator (EXP-16)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LIGO waveforms analysed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GW150914, GW170817 (EXP-12)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Nuclides analysed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3,554 (AME2020, EXP-03/14)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Real rock samples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40,666 (GEOROC, EXP-05b)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Crystal structures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1,013 (COD, EXP-15b)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Key discovery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454F"/>
                <w:sz w:val="18"/>
                <w:szCs w:val="18"/>
              </w:rPr>
              <w:t xml:space="preserve">Information Mechanics framework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Domain Coverage Map</w:t>
      </w:r>
    </w:p>
    <w:p>
      <w:pPr>
        <w:spacing w:after="120"/>
      </w:pPr>
      <w:r>
        <w:rPr>
          <w:rFonts w:ascii="Arial" w:cs="Arial" w:eastAsia="Arial" w:hAnsi="Arial"/>
          <w:color w:val="36454F"/>
          <w:sz w:val="22"/>
          <w:szCs w:val="22"/>
        </w:rPr>
        <w:t xml:space="preserve">The K₄ complete graph established by EXP-18b demonstrates that all four physical domains are compositionally linked. The following table shows which experiments contributed to each domain and each bridge.</w:t>
      </w:r>
    </w:p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 / Bridge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 Entry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Experiments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Systems Count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Characteristic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ENERGY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EXP-01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01, 02, 06, 15, 15b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40+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Accumulative, smooth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MATTER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EXP-03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03, 05, 05b, 14, 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45,000+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Irreversible, directional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FORCE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EXP-16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16, 17, 18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1,000+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Reversible, turbulent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GRAVITY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EXP-12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12, 16, 18b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24+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Smooth, low deviation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——————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———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———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———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———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———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Energy↔Matter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EXP-15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15, 15b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1,019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Crystallographic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5F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Force↔Gravity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EXP-16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Spring-mass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5F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Matter↔Force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EXP-18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Stress-strain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5F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Gravity↔Energy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EXP-12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12B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LIGO waveforms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5F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Energy↔Force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EXP-18b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18b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Charged droplet EM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5F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Matter↔Gravity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EXP-18b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18b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6454F"/>
                <w:sz w:val="18"/>
                <w:szCs w:val="18"/>
              </w:rPr>
              <w:t xml:space="preserve">Sedimentation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5F2D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The Arc: From Instrument to Framework</w:t>
      </w:r>
    </w:p>
    <w:p>
      <w:pPr>
        <w:spacing w:after="120"/>
      </w:pPr>
      <w:r>
        <w:rPr>
          <w:rFonts w:ascii="Arial" w:cs="Arial" w:eastAsia="Arial" w:hAnsi="Arial"/>
          <w:color w:val="36454F"/>
          <w:sz w:val="22"/>
          <w:szCs w:val="22"/>
        </w:rPr>
        <w:t xml:space="preserve">The experiment ladder tells a single story in five acts: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6454F"/>
          <w:sz w:val="22"/>
          <w:szCs w:val="22"/>
        </w:rPr>
        <w:t xml:space="preserve">Phase I (Validation): </w:t>
      </w:r>
      <w:r>
        <w:rPr>
          <w:rFonts w:ascii="Arial" w:cs="Arial" w:eastAsia="Arial" w:hAnsi="Arial"/>
          <w:color w:val="36454F"/>
          <w:sz w:val="22"/>
          <w:szCs w:val="22"/>
        </w:rPr>
        <w:t xml:space="preserve">Can the instrument see anything at all? Gold prices, energy mixes, uranium, acoustics, and geochemistry confirmed: the PLL parabola, Aitchison variance, EITT entropy, and super squeeze all produce interpretable, reproducible results across wildly different domains.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6454F"/>
          <w:sz w:val="22"/>
          <w:szCs w:val="22"/>
        </w:rPr>
        <w:t xml:space="preserve">Phase II (Extension): </w:t>
      </w:r>
      <w:r>
        <w:rPr>
          <w:rFonts w:ascii="Arial" w:cs="Arial" w:eastAsia="Arial" w:hAnsi="Arial"/>
          <w:color w:val="36454F"/>
          <w:sz w:val="22"/>
          <w:szCs w:val="22"/>
        </w:rPr>
        <w:t xml:space="preserve">Does it work at extreme scales? Nuclear fusion, quarks, and cross-boundary handshakes confirmed: the instrument scales from subatomic to stellar. The Master Inventory (EXP-09) catalogued 75 systems spanning 44 orders of magnitude.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6454F"/>
          <w:sz w:val="22"/>
          <w:szCs w:val="22"/>
        </w:rPr>
        <w:t xml:space="preserve">Phase III (Deep Sweep): </w:t>
      </w:r>
      <w:r>
        <w:rPr>
          <w:rFonts w:ascii="Arial" w:cs="Arial" w:eastAsia="Arial" w:hAnsi="Arial"/>
          <w:color w:val="36454F"/>
          <w:sz w:val="22"/>
          <w:szCs w:val="22"/>
        </w:rPr>
        <w:t xml:space="preserve">Can it complete full coverage? The full sweep and gravity deep study filled every gap and established the gravity domain via LIGO gravitational wave analysis.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6454F"/>
          <w:sz w:val="22"/>
          <w:szCs w:val="22"/>
        </w:rPr>
        <w:t xml:space="preserve">Phase IV (Calibration): </w:t>
      </w:r>
      <w:r>
        <w:rPr>
          <w:rFonts w:ascii="Arial" w:cs="Arial" w:eastAsia="Arial" w:hAnsi="Arial"/>
          <w:color w:val="36454F"/>
          <w:sz w:val="22"/>
          <w:szCs w:val="22"/>
        </w:rPr>
        <w:t xml:space="preserve">Is the instrument trustworthy? The parabola hunter achieved 10⁻¹⁵ calibration precision. The fixed-point selection principle identified Ne-20 as a structural attractor. X-ray crystallography provided the first energy-domain confirmation and validated the dual-anchor (1/π → φ²) transition.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6454F"/>
          <w:sz w:val="22"/>
          <w:szCs w:val="22"/>
        </w:rPr>
        <w:t xml:space="preserve">Phase V (Information Mechanics): </w:t>
      </w:r>
      <w:r>
        <w:rPr>
          <w:rFonts w:ascii="Arial" w:cs="Arial" w:eastAsia="Arial" w:hAnsi="Arial"/>
          <w:color w:val="36454F"/>
          <w:sz w:val="22"/>
          <w:szCs w:val="22"/>
        </w:rPr>
        <w:t xml:space="preserve">What does it all mean? The force domain was entered (EXP-16), the irreducible floor was proved (EXP-17), force-matter asymmetry was discovered (EXP-18), and the K₄ complete graph was established (EXP-18b). The instrument became a framework: Information Mechanics.</w:t>
      </w:r>
    </w:p>
    <w:p>
      <w:pPr>
        <w:spacing w:after="200"/>
      </w:pPr>
    </w:p>
    <w:p>
      <w:pPr>
        <w:pStyle w:val="Heading1"/>
      </w:pPr>
      <w:r>
        <w:t xml:space="preserve">Conclusion</w:t>
      </w:r>
    </w:p>
    <w:p>
      <w:pPr>
        <w:spacing w:after="120"/>
      </w:pPr>
      <w:r>
        <w:rPr>
          <w:rFonts w:ascii="Arial" w:cs="Arial" w:eastAsia="Arial" w:hAnsi="Arial"/>
          <w:color w:val="36454F"/>
          <w:sz w:val="22"/>
          <w:szCs w:val="22"/>
        </w:rPr>
        <w:t xml:space="preserve">The Higgins Unity Framework experiment series, running from January to April 2026, established that physical systems across all four fundamental domains — energy, matter, force, and gravity — possess an irreducible compositional structure that can be revealed by a single analytical instrument. The 12-step Higgins Decomposition pipeline, operating within the mathematical framework of Compositional Data Analysis (CoDa), produces consistent, artifact-free results from gold prices to gravitational waves, from quark mass budgets to steel stress-strain curves.</w:t>
      </w:r>
    </w:p>
    <w:p>
      <w:pPr>
        <w:spacing w:after="120"/>
      </w:pPr>
      <w:r>
        <w:rPr>
          <w:rFonts w:ascii="Arial" w:cs="Arial" w:eastAsia="Arial" w:hAnsi="Arial"/>
          <w:color w:val="36454F"/>
          <w:sz w:val="22"/>
          <w:szCs w:val="22"/>
        </w:rPr>
        <w:t xml:space="preserve">The series culminated in three discoveries that elevate the instrument to a framework: the Compositional Uncertainty Principle (an irreducible chaos floor that is topological, not numerical), force-matter asymmetry (forces are turbulent and reversible, matter is smooth and irreversible), and the K₄ complete graph (all four domains are fully inter-linked). Together these constitute Information Mechanics — the study of irreducible compositional structure in physical systems.</w:t>
      </w:r>
    </w:p>
    <w:p>
      <w:pPr>
        <w:spacing w:after="120"/>
      </w:pPr>
      <w:r>
        <w:rPr>
          <w:rFonts w:ascii="Arial" w:cs="Arial" w:eastAsia="Arial" w:hAnsi="Arial"/>
          <w:color w:val="36454F"/>
          <w:sz w:val="22"/>
          <w:szCs w:val="22"/>
        </w:rPr>
        <w:t xml:space="preserve">The experiment ladder is closed. The framework is open.</w:t>
      </w:r>
    </w:p>
    <w:sectPr>
      <w:headerReference w:type="default" r:id="rId9"/>
      <w:footerReference w:type="default" r:id="rId10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6FA5"/>
        <w:sz w:val="16"/>
        <w:szCs w:val="16"/>
      </w:rPr>
      <w:t xml:space="preserve">HUF Complete Experiment Summary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6FA5"/>
        <w:sz w:val="16"/>
        <w:szCs w:val="16"/>
      </w:rPr>
      <w:t xml:space="preserve">Page </w:t>
    </w:r>
    <w:r>
      <w:rPr>
        <w:rFonts w:ascii="Arial" w:cs="Arial" w:eastAsia="Arial" w:hAnsi="Arial"/>
        <w:color w:val="4A6F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2" w:space="4"/>
      </w:pBdr>
      <w:tabs>
        <w:tab w:val="right" w:pos="9026"/>
      </w:tabs>
    </w:pPr>
    <w:r>
      <w:rPr>
        <w:rFonts w:ascii="Arial" w:cs="Arial" w:eastAsia="Arial" w:hAnsi="Arial"/>
        <w:color w:val="4A6FA5"/>
        <w:sz w:val="16"/>
        <w:szCs w:val="16"/>
      </w:rPr>
      <w:t xml:space="preserve">HUF Complete Experiment Summary — EXP-01 to EXP-18b</w:t>
    </w:r>
    <w:r>
      <w:rPr>
        <w:rFonts w:ascii="Arial" w:cs="Arial" w:eastAsia="Arial" w:hAnsi="Arial"/>
        <w:color w:val="4A6FA5"/>
        <w:sz w:val="16"/>
        <w:szCs w:val="16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Georgia" w:cs="Georgia" w:eastAsia="Georgia" w:hAnsi="Georgia"/>
      <w:b/>
      <w:bCs/>
      <w:color w:val="4A6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3645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2026-04-22T08:42:57.781Z</dcterms:created>
  <dcterms:modified xsi:type="dcterms:W3CDTF">2026-04-22T08:42:57.781Z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