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40"/>
          <w:szCs w:val="40"/>
        </w:rPr>
        <w:t xml:space="preserve">HUF-GOV</w:t>
      </w:r>
    </w:p>
    <w:p>
      <w:pPr>
        <w:spacing w:after="80"/>
        <w:jc w:val="center"/>
      </w:pPr>
      <w:r>
        <w:rPr>
          <w:rFonts w:ascii="Georgia" w:cs="Georgia" w:eastAsia="Georgia" w:hAnsi="Georgia"/>
          <w:sz w:val="28"/>
          <w:szCs w:val="28"/>
        </w:rPr>
        <w:t xml:space="preserve">A Proposal for Open-Loop Composition Monitoring</w:t>
      </w:r>
    </w:p>
    <w:p>
      <w:pPr>
        <w:spacing w:after="80"/>
        <w:jc w:val="center"/>
      </w:pPr>
      <w:r>
        <w:rPr>
          <w:rFonts w:ascii="Georgia" w:cs="Georgia" w:eastAsia="Georgia" w:hAnsi="Georgia"/>
          <w:sz w:val="28"/>
          <w:szCs w:val="28"/>
        </w:rPr>
        <w:t xml:space="preserve">of Complex Systems</w:t>
      </w:r>
    </w:p>
    <w:p>
      <w:pPr>
        <w:spacing w:after="200"/>
        <w:jc w:val="center"/>
      </w:pPr>
      <w:r>
        <w:rPr>
          <w:rFonts w:ascii="Georgia" w:cs="Georgia" w:eastAsia="Georgia" w:hAnsi="Georgia"/>
          <w:i/>
          <w:iCs/>
          <w:sz w:val="24"/>
          <w:szCs w:val="24"/>
        </w:rPr>
        <w:t xml:space="preserve">Scientist Handoff Statement</w:t>
      </w:r>
    </w:p>
    <w:p>
      <w:pPr>
        <w:spacing w:after="40"/>
        <w:jc w:val="center"/>
      </w:pPr>
      <w:r>
        <w:rPr>
          <w:rFonts w:ascii="Georgia" w:cs="Georgia" w:eastAsia="Georgia" w:hAnsi="Georgia"/>
          <w:sz w:val="22"/>
          <w:szCs w:val="22"/>
        </w:rPr>
        <w:t xml:space="preserve">Peter Higgins</w:t>
      </w:r>
    </w:p>
    <w:p>
      <w:pPr>
        <w:spacing w:after="40"/>
        <w:jc w:val="center"/>
      </w:pPr>
      <w:r>
        <w:rPr>
          <w:rFonts w:ascii="Georgia" w:cs="Georgia" w:eastAsia="Georgia" w:hAnsi="Georgia"/>
          <w:sz w:val="22"/>
          <w:szCs w:val="22"/>
        </w:rPr>
        <w:t xml:space="preserve">Rogue Wave Audio — Markham, Ontario</w:t>
      </w:r>
    </w:p>
    <w:p>
      <w:pPr>
        <w:spacing w:after="40"/>
        <w:jc w:val="center"/>
      </w:pPr>
      <w:r>
        <w:rPr>
          <w:rFonts w:ascii="Georgia" w:cs="Georgia" w:eastAsia="Georgia" w:hAnsi="Georgia"/>
          <w:sz w:val="22"/>
          <w:szCs w:val="22"/>
        </w:rPr>
        <w:t xml:space="preserve">March 2026</w:t>
      </w:r>
    </w:p>
    <w:p>
      <w:pPr>
        <w:pBdr>
          <w:bottom w:val="single" w:color="666666" w:sz="6" w:space="8"/>
        </w:pBdr>
        <w:spacing w:after="200"/>
        <w:jc w:val="center"/>
      </w:pPr>
      <w:r>
        <w:rPr>
          <w:rFonts w:ascii="Georgia" w:cs="Georgia" w:eastAsia="Georgia" w:hAnsi="Georgia"/>
          <w:i/>
          <w:iCs/>
          <w:color w:val="666666"/>
          <w:sz w:val="20"/>
          <w:szCs w:val="20"/>
        </w:rPr>
        <w:t xml:space="preserve">Document ID: HANDOFF-001 v1.0</w:t>
      </w:r>
    </w:p>
    <w:p>
      <w:pPr>
        <w:pStyle w:val="Heading1"/>
        <w:spacing w:before="360" w:after="200"/>
      </w:pPr>
      <w:r>
        <w:rPr>
          <w:rFonts w:ascii="Georgia" w:cs="Georgia" w:eastAsia="Georgia" w:hAnsi="Georgia"/>
          <w:b/>
          <w:bCs/>
          <w:sz w:val="32"/>
          <w:szCs w:val="32"/>
        </w:rPr>
        <w:t xml:space="preserve">Abstract</w:t>
      </w:r>
    </w:p>
    <w:p>
      <w:pPr>
        <w:spacing w:after="200" w:line="276"/>
        <w:jc w:val="both"/>
      </w:pPr>
      <w:r>
        <w:rPr>
          <w:rFonts w:ascii="Georgia" w:cs="Georgia" w:eastAsia="Georgia" w:hAnsi="Georgia"/>
          <w:sz w:val="24"/>
          <w:szCs w:val="24"/>
        </w:rPr>
        <w:t xml:space="preserve">The Higgins Unity Framework (HUF) proposes that composition — the internal proportional structure of a system’s parts — should be treated as a primary monitoring observable alongside magnitude, identity, and trend. The underlying mathematics is not new: compositional data analysis on the simplex has an established foundation in Aitchison’s work (1982) and subsequent CoDa literature. The proposed contribution is the monitoring application: treating ratio-state structure as something to observe directly, rather than only as a statistical correction problem.</w:t>
      </w:r>
    </w:p>
    <w:p>
      <w:pPr>
        <w:spacing w:after="200" w:line="276"/>
        <w:jc w:val="both"/>
      </w:pPr>
      <w:r>
        <w:rPr>
          <w:rFonts w:ascii="Georgia" w:cs="Georgia" w:eastAsia="Georgia" w:hAnsi="Georgia"/>
          <w:sz w:val="24"/>
          <w:szCs w:val="24"/>
        </w:rPr>
        <w:t xml:space="preserve">In this framing, HUF-GOV is an open-loop diagnostic instrument. It reads structural composition, reports drift, concentration, and redistribution, and stops there. The instrument reads; the human expert decides.</w:t>
      </w:r>
    </w:p>
    <w:p>
      <w:pPr>
        <w:pStyle w:val="Heading1"/>
        <w:spacing w:before="360" w:after="200"/>
      </w:pPr>
      <w:r>
        <w:rPr>
          <w:rFonts w:ascii="Georgia" w:cs="Georgia" w:eastAsia="Georgia" w:hAnsi="Georgia"/>
          <w:b/>
          <w:bCs/>
          <w:sz w:val="32"/>
          <w:szCs w:val="32"/>
        </w:rPr>
        <w:t xml:space="preserve">Core Claim</w:t>
      </w:r>
    </w:p>
    <w:p>
      <w:pPr>
        <w:spacing w:after="200" w:line="276"/>
        <w:jc w:val="both"/>
      </w:pPr>
      <w:r>
        <w:rPr>
          <w:rFonts w:ascii="Georgia" w:cs="Georgia" w:eastAsia="Georgia" w:hAnsi="Georgia"/>
          <w:sz w:val="24"/>
          <w:szCs w:val="24"/>
        </w:rPr>
        <w:t xml:space="preserve">HUF’s working claim is that some complex systems undergo meaningful structural change before conventional magnitude-based indicators visibly fail. When the components of a conserved whole are normalized so that proportions sum to one, the resulting ratio-state may reveal concentration, hollowing, and redistribution that remain invisible to standard monitoring focused on totals, labels, or trends.</w:t>
      </w:r>
    </w:p>
    <w:p>
      <w:pPr>
        <w:spacing w:after="200" w:line="276"/>
        <w:jc w:val="both"/>
      </w:pPr>
      <w:r>
        <w:rPr>
          <w:rFonts w:ascii="Georgia" w:cs="Georgia" w:eastAsia="Georgia" w:hAnsi="Georgia"/>
          <w:sz w:val="24"/>
          <w:szCs w:val="24"/>
        </w:rPr>
        <w:t xml:space="preserve">HUF refers to this hidden structural change as deceptive drift: internal compositional concentration accumulating behind an apparently stable surface. The claim is not that HUF invented new mathematics, but that compositional structure may constitute a missing monitoring category in practical governance and applied observation.</w:t>
      </w:r>
    </w:p>
    <w:p>
      <w:pPr>
        <w:pStyle w:val="Heading1"/>
        <w:spacing w:before="360" w:after="200"/>
      </w:pPr>
      <w:r>
        <w:rPr>
          <w:rFonts w:ascii="Georgia" w:cs="Georgia" w:eastAsia="Georgia" w:hAnsi="Georgia"/>
          <w:b/>
          <w:bCs/>
          <w:sz w:val="32"/>
          <w:szCs w:val="32"/>
        </w:rPr>
        <w:t xml:space="preserve">What the Framework Is, and Is Not</w:t>
      </w:r>
    </w:p>
    <w:p>
      <w:pPr>
        <w:spacing w:after="200" w:line="276"/>
        <w:jc w:val="both"/>
      </w:pPr>
      <w:r>
        <w:rPr>
          <w:rFonts w:ascii="Georgia" w:cs="Georgia" w:eastAsia="Georgia" w:hAnsi="Georgia"/>
          <w:sz w:val="24"/>
          <w:szCs w:val="24"/>
        </w:rPr>
        <w:t xml:space="preserve">HUF-GOV is intended as an open-loop instrument, not an autonomous controller. Its purpose is to compute and present compositional readings — carrier proportions, structural drift velocity, effective complexity (K_eff), and concentration metrics — in forms that domain experts can examine.</w:t>
      </w:r>
    </w:p>
    <w:p>
      <w:pPr>
        <w:spacing w:after="200" w:line="276"/>
        <w:jc w:val="both"/>
      </w:pPr>
      <w:r>
        <w:rPr>
          <w:rFonts w:ascii="Georgia" w:cs="Georgia" w:eastAsia="Georgia" w:hAnsi="Georgia"/>
          <w:sz w:val="24"/>
          <w:szCs w:val="24"/>
        </w:rPr>
        <w:t xml:space="preserve">It is not a substitute for field expertise, causal explanation, or policy judgment. The instrument may indicate that a system’s internal balance is changing, but it cannot determine on its own whether that change is benign, seasonal, adaptive, harmful, or actionable. That distinction remains with the relevant human expert.</w:t>
      </w:r>
    </w:p>
    <w:p>
      <w:pPr>
        <w:spacing w:after="200" w:line="276"/>
        <w:jc w:val="both"/>
      </w:pPr>
      <w:r>
        <w:rPr>
          <w:rFonts w:ascii="Georgia" w:cs="Georgia" w:eastAsia="Georgia" w:hAnsi="Georgia"/>
          <w:b/>
          <w:bCs/>
          <w:sz w:val="24"/>
          <w:szCs w:val="24"/>
        </w:rPr>
        <w:t xml:space="preserve">The Skydiver Principle: </w:t>
      </w:r>
      <w:r>
        <w:rPr>
          <w:rFonts w:ascii="Georgia" w:cs="Georgia" w:eastAsia="Georgia" w:hAnsi="Georgia"/>
          <w:sz w:val="24"/>
          <w:szCs w:val="24"/>
        </w:rPr>
        <w:t xml:space="preserve">the instrument reads the altimeter; the human decides whether to jump. The loop stays open.</w:t>
      </w:r>
    </w:p>
    <w:p>
      <w:pPr>
        <w:pStyle w:val="Heading1"/>
        <w:spacing w:before="360" w:after="200"/>
      </w:pPr>
      <w:r>
        <w:rPr>
          <w:rFonts w:ascii="Georgia" w:cs="Georgia" w:eastAsia="Georgia" w:hAnsi="Georgia"/>
          <w:b/>
          <w:bCs/>
          <w:sz w:val="32"/>
          <w:szCs w:val="32"/>
        </w:rPr>
        <w:t xml:space="preserve">Why This May Matter for Ecosystem and Planetary Monitoring</w:t>
      </w:r>
    </w:p>
    <w:p>
      <w:pPr>
        <w:spacing w:after="200" w:line="276"/>
        <w:jc w:val="both"/>
      </w:pPr>
      <w:r>
        <w:rPr>
          <w:rFonts w:ascii="Georgia" w:cs="Georgia" w:eastAsia="Georgia" w:hAnsi="Georgia"/>
          <w:sz w:val="24"/>
          <w:szCs w:val="24"/>
        </w:rPr>
        <w:t xml:space="preserve">The framework is being positioned for possible validation in domains where internal composition is materially consequential, especially ecosystem monitoring. In the Ramsar Convention use case already outlined in the supporting corpus, the proposed test is straightforward: apply HUF-GOV to habitat composition data, compare structural readings against site histories and expert ecological judgment, and determine whether the instrument detects meaningful change earlier or more clearly than conventional magnitude-led reporting alone.</w:t>
      </w:r>
    </w:p>
    <w:p>
      <w:pPr>
        <w:spacing w:after="200" w:line="276"/>
        <w:jc w:val="both"/>
      </w:pPr>
      <w:r>
        <w:rPr>
          <w:rFonts w:ascii="Georgia" w:cs="Georgia" w:eastAsia="Georgia" w:hAnsi="Georgia"/>
          <w:sz w:val="24"/>
          <w:szCs w:val="24"/>
        </w:rPr>
        <w:t xml:space="preserve">The scientific value would not lie in rhetoric about planetary scale, but in whether domain specialists find that the instrument reads true, adds signal, and survives criticism.</w:t>
      </w:r>
    </w:p>
    <w:p>
      <w:pPr>
        <w:pStyle w:val="Heading1"/>
        <w:spacing w:before="360" w:after="200"/>
      </w:pPr>
      <w:r>
        <w:rPr>
          <w:rFonts w:ascii="Georgia" w:cs="Georgia" w:eastAsia="Georgia" w:hAnsi="Georgia"/>
          <w:b/>
          <w:bCs/>
          <w:sz w:val="32"/>
          <w:szCs w:val="32"/>
        </w:rPr>
        <w:t xml:space="preserve">Current Limits</w:t>
      </w:r>
    </w:p>
    <w:p>
      <w:pPr>
        <w:spacing w:after="200" w:line="276"/>
        <w:jc w:val="both"/>
      </w:pPr>
      <w:r>
        <w:rPr>
          <w:rFonts w:ascii="Georgia" w:cs="Georgia" w:eastAsia="Georgia" w:hAnsi="Georgia"/>
          <w:sz w:val="24"/>
          <w:szCs w:val="24"/>
        </w:rPr>
        <w:t xml:space="preserve">This framework is not complete, and it has not earned broad adoption. The current evidence base is limited by at least four constraints:</w:t>
      </w:r>
    </w:p>
    <w:p>
      <w:pPr>
        <w:spacing w:after="200" w:line="276"/>
        <w:jc w:val="both"/>
      </w:pPr>
      <w:r>
        <w:rPr>
          <w:rFonts w:ascii="Georgia" w:cs="Georgia" w:eastAsia="Georgia" w:hAnsi="Georgia"/>
          <w:b/>
          <w:bCs/>
          <w:sz w:val="24"/>
          <w:szCs w:val="24"/>
        </w:rPr>
        <w:t xml:space="preserve">First, </w:t>
      </w:r>
      <w:r>
        <w:rPr>
          <w:rFonts w:ascii="Georgia" w:cs="Georgia" w:eastAsia="Georgia" w:hAnsi="Georgia"/>
          <w:sz w:val="24"/>
          <w:szCs w:val="24"/>
        </w:rPr>
        <w:t xml:space="preserve">the principal deceptive-drift findings are retrospective rather than prospective. The framework has detected structural concentration preceding known disruptions (German electricity p=0.0016, Japanese GDP p=0.0098, Chinese GDP p=0.0196), but prospective validation on unseen data remains incomplete.</w:t>
      </w:r>
    </w:p>
    <w:p>
      <w:pPr>
        <w:spacing w:after="200" w:line="276"/>
        <w:jc w:val="both"/>
      </w:pPr>
      <w:r>
        <w:rPr>
          <w:rFonts w:ascii="Georgia" w:cs="Georgia" w:eastAsia="Georgia" w:hAnsi="Georgia"/>
          <w:b/>
          <w:bCs/>
          <w:sz w:val="24"/>
          <w:szCs w:val="24"/>
        </w:rPr>
        <w:t xml:space="preserve">Second, </w:t>
      </w:r>
      <w:r>
        <w:rPr>
          <w:rFonts w:ascii="Georgia" w:cs="Georgia" w:eastAsia="Georgia" w:hAnsi="Georgia"/>
          <w:sz w:val="24"/>
          <w:szCs w:val="24"/>
        </w:rPr>
        <w:t xml:space="preserve">each domain requires its own carrier definitions, null models, and calibration rules. The framework is not plug-and-play; it requires domain-specific configuration by experts who understand the system being monitored.</w:t>
      </w:r>
    </w:p>
    <w:p>
      <w:pPr>
        <w:spacing w:after="200" w:line="276"/>
        <w:jc w:val="both"/>
      </w:pPr>
      <w:r>
        <w:rPr>
          <w:rFonts w:ascii="Georgia" w:cs="Georgia" w:eastAsia="Georgia" w:hAnsi="Georgia"/>
          <w:b/>
          <w:bCs/>
          <w:sz w:val="24"/>
          <w:szCs w:val="24"/>
        </w:rPr>
        <w:t xml:space="preserve">Third, </w:t>
      </w:r>
      <w:r>
        <w:rPr>
          <w:rFonts w:ascii="Georgia" w:cs="Georgia" w:eastAsia="Georgia" w:hAnsi="Georgia"/>
          <w:sz w:val="24"/>
          <w:szCs w:val="24"/>
        </w:rPr>
        <w:t xml:space="preserve">the claim that composition is a genuinely distinct monitoring category remains vulnerable to prior-art challenge and must be tested against the literature rigorously. If prior work already treated compositional structure as a primary monitoring observable, the contribution must be repositioned.</w:t>
      </w:r>
    </w:p>
    <w:p>
      <w:pPr>
        <w:spacing w:after="200" w:line="276"/>
        <w:jc w:val="both"/>
      </w:pPr>
      <w:r>
        <w:rPr>
          <w:rFonts w:ascii="Georgia" w:cs="Georgia" w:eastAsia="Georgia" w:hAnsi="Georgia"/>
          <w:b/>
          <w:bCs/>
          <w:sz w:val="24"/>
          <w:szCs w:val="24"/>
        </w:rPr>
        <w:t xml:space="preserve">Fourth, </w:t>
      </w:r>
      <w:r>
        <w:rPr>
          <w:rFonts w:ascii="Georgia" w:cs="Georgia" w:eastAsia="Georgia" w:hAnsi="Georgia"/>
          <w:sz w:val="24"/>
          <w:szCs w:val="24"/>
        </w:rPr>
        <w:t xml:space="preserve">any move toward closed-loop use would be premature and out of scope until understanding, validation, and consent exist within the relevant expert community.</w:t>
      </w:r>
    </w:p>
    <w:p>
      <w:pPr>
        <w:pStyle w:val="Heading1"/>
        <w:spacing w:before="360" w:after="200"/>
      </w:pPr>
      <w:r>
        <w:rPr>
          <w:rFonts w:ascii="Georgia" w:cs="Georgia" w:eastAsia="Georgia" w:hAnsi="Georgia"/>
          <w:b/>
          <w:bCs/>
          <w:sz w:val="32"/>
          <w:szCs w:val="32"/>
        </w:rPr>
        <w:t xml:space="preserve">What Is Being Asked of Scientists</w:t>
      </w:r>
    </w:p>
    <w:p>
      <w:pPr>
        <w:spacing w:after="200" w:line="276"/>
        <w:jc w:val="both"/>
      </w:pPr>
      <w:r>
        <w:rPr>
          <w:rFonts w:ascii="Georgia" w:cs="Georgia" w:eastAsia="Georgia" w:hAnsi="Georgia"/>
          <w:sz w:val="24"/>
          <w:szCs w:val="24"/>
        </w:rPr>
        <w:t xml:space="preserve">We are not asking for endorsement. We are asking for disciplined evaluation. Specifically:</w:t>
      </w:r>
    </w:p>
    <w:p>
      <w:pPr>
        <w:spacing w:after="200" w:line="276"/>
        <w:jc w:val="both"/>
      </w:pPr>
      <w:r>
        <w:rPr>
          <w:rFonts w:ascii="Georgia" w:cs="Georgia" w:eastAsia="Georgia" w:hAnsi="Georgia"/>
          <w:b/>
          <w:bCs/>
          <w:sz w:val="24"/>
          <w:szCs w:val="24"/>
        </w:rPr>
        <w:t xml:space="preserve">1. </w:t>
      </w:r>
      <w:r>
        <w:rPr>
          <w:rFonts w:ascii="Georgia" w:cs="Georgia" w:eastAsia="Georgia" w:hAnsi="Georgia"/>
          <w:sz w:val="24"/>
          <w:szCs w:val="24"/>
        </w:rPr>
        <w:t xml:space="preserve">Assess whether composition is being claimed fairly as a primary monitoring category rather than as a restatement of existing compositional data analysis practice.</w:t>
      </w:r>
    </w:p>
    <w:p>
      <w:pPr>
        <w:spacing w:after="200" w:line="276"/>
        <w:jc w:val="both"/>
      </w:pPr>
      <w:r>
        <w:rPr>
          <w:rFonts w:ascii="Georgia" w:cs="Georgia" w:eastAsia="Georgia" w:hAnsi="Georgia"/>
          <w:b/>
          <w:bCs/>
          <w:sz w:val="24"/>
          <w:szCs w:val="24"/>
        </w:rPr>
        <w:t xml:space="preserve">2. </w:t>
      </w:r>
      <w:r>
        <w:rPr>
          <w:rFonts w:ascii="Georgia" w:cs="Georgia" w:eastAsia="Georgia" w:hAnsi="Georgia"/>
          <w:sz w:val="24"/>
          <w:szCs w:val="24"/>
        </w:rPr>
        <w:t xml:space="preserve">Test whether HUF-GOV readings add useful signal in real domains where compositional structure matters.</w:t>
      </w:r>
    </w:p>
    <w:p>
      <w:pPr>
        <w:spacing w:after="200" w:line="276"/>
        <w:jc w:val="both"/>
      </w:pPr>
      <w:r>
        <w:rPr>
          <w:rFonts w:ascii="Georgia" w:cs="Georgia" w:eastAsia="Georgia" w:hAnsi="Georgia"/>
          <w:b/>
          <w:bCs/>
          <w:sz w:val="24"/>
          <w:szCs w:val="24"/>
        </w:rPr>
        <w:t xml:space="preserve">3. </w:t>
      </w:r>
      <w:r>
        <w:rPr>
          <w:rFonts w:ascii="Georgia" w:cs="Georgia" w:eastAsia="Georgia" w:hAnsi="Georgia"/>
          <w:sz w:val="24"/>
          <w:szCs w:val="24"/>
        </w:rPr>
        <w:t xml:space="preserve">Identify failure modes, calibration requirements, false-positive risks, and domain boundaries.</w:t>
      </w:r>
    </w:p>
    <w:p>
      <w:pPr>
        <w:spacing w:after="200" w:line="276"/>
        <w:jc w:val="both"/>
      </w:pPr>
      <w:r>
        <w:rPr>
          <w:rFonts w:ascii="Georgia" w:cs="Georgia" w:eastAsia="Georgia" w:hAnsi="Georgia"/>
          <w:b/>
          <w:bCs/>
          <w:sz w:val="24"/>
          <w:szCs w:val="24"/>
        </w:rPr>
        <w:t xml:space="preserve">4. </w:t>
      </w:r>
      <w:r>
        <w:rPr>
          <w:rFonts w:ascii="Georgia" w:cs="Georgia" w:eastAsia="Georgia" w:hAnsi="Georgia"/>
          <w:sz w:val="24"/>
          <w:szCs w:val="24"/>
        </w:rPr>
        <w:t xml:space="preserve">Determine whether the framework should be rejected, narrowed, or developed further as an open-loop monitoring instrument.</w:t>
      </w:r>
    </w:p>
    <w:p>
      <w:pPr>
        <w:spacing w:after="200" w:line="276"/>
        <w:jc w:val="both"/>
      </w:pPr>
      <w:r>
        <w:rPr>
          <w:rFonts w:ascii="Georgia" w:cs="Georgia" w:eastAsia="Georgia" w:hAnsi="Georgia"/>
          <w:sz w:val="24"/>
          <w:szCs w:val="24"/>
        </w:rPr>
        <w:t xml:space="preserve">If the framework is wrong, we want it broken clearly. If it is partly right, we want its useful core separated from speculation. If it is useful, we want it handed into the care of people qualified to validate and extend it responsibly.</w:t>
      </w:r>
    </w:p>
    <w:p>
      <w:pPr>
        <w:pStyle w:val="Heading1"/>
        <w:spacing w:before="360" w:after="200"/>
      </w:pPr>
      <w:r>
        <w:rPr>
          <w:rFonts w:ascii="Georgia" w:cs="Georgia" w:eastAsia="Georgia" w:hAnsi="Georgia"/>
          <w:b/>
          <w:bCs/>
          <w:sz w:val="32"/>
          <w:szCs w:val="32"/>
        </w:rPr>
        <w:t xml:space="preserve">Proposed Handoff Standard</w:t>
      </w:r>
    </w:p>
    <w:p>
      <w:pPr>
        <w:spacing w:after="200" w:line="276"/>
        <w:jc w:val="both"/>
      </w:pPr>
      <w:r>
        <w:rPr>
          <w:rFonts w:ascii="Georgia" w:cs="Georgia" w:eastAsia="Georgia" w:hAnsi="Georgia"/>
          <w:sz w:val="24"/>
          <w:szCs w:val="24"/>
        </w:rPr>
        <w:t xml:space="preserve">The standard for handoff is simple: preserve the open loop, state the claims precisely, show the mathematics honestly, expose the framework to expert criticism, and let data decide. Nothing in HUF-GOV should be treated as finished because it feels important. It should be treated as useful only if qualified experts can verify, falsify, calibrate, or improve it on the merits.</w:t>
      </w:r>
    </w:p>
    <w:p>
      <w:pPr>
        <w:pBdr>
          <w:bottom w:val="single" w:color="999999" w:sz="4" w:space="8"/>
        </w:pBdr>
        <w:spacing w:before="400" w:after="200"/>
      </w:pPr>
    </w:p>
    <w:p>
      <w:pPr>
        <w:spacing w:after="200" w:line="276"/>
        <w:jc w:val="both"/>
      </w:pPr>
      <w:r>
        <w:rPr>
          <w:rFonts w:ascii="Georgia" w:cs="Georgia" w:eastAsia="Georgia" w:hAnsi="Georgia"/>
          <w:i/>
          <w:iCs/>
          <w:sz w:val="24"/>
          <w:szCs w:val="24"/>
        </w:rPr>
        <w:t xml:space="preserve">HUF-GOV is a proposal to treat compositional structure as an open-loop monitoring signal and to place that proposal in the hands of experts who can try to break it.</w:t>
      </w:r>
    </w:p>
    <w:p>
      <w:pPr>
        <w:spacing w:before="400" w:after="40"/>
      </w:pPr>
      <w:r>
        <w:rPr>
          <w:rFonts w:ascii="Georgia" w:cs="Georgia" w:eastAsia="Georgia" w:hAnsi="Georgia"/>
          <w:b/>
          <w:bCs/>
          <w:sz w:val="20"/>
          <w:szCs w:val="20"/>
        </w:rPr>
        <w:t xml:space="preserve">Supporting documentation:</w:t>
      </w:r>
    </w:p>
    <w:p>
      <w:pPr>
        <w:spacing w:after="40"/>
      </w:pPr>
      <w:r>
        <w:rPr>
          <w:rFonts w:ascii="Georgia" w:cs="Georgia" w:eastAsia="Georgia" w:hAnsi="Georgia"/>
          <w:sz w:val="20"/>
          <w:szCs w:val="20"/>
        </w:rPr>
        <w:t xml:space="preserve">MONITOR-001: Formal Monitoring Taxonomy (Stevens → Shannon → Aitchison → HUF)</w:t>
      </w:r>
    </w:p>
    <w:p>
      <w:pPr>
        <w:spacing w:after="40"/>
      </w:pPr>
      <w:r>
        <w:rPr>
          <w:rFonts w:ascii="Georgia" w:cs="Georgia" w:eastAsia="Georgia" w:hAnsi="Georgia"/>
          <w:sz w:val="20"/>
          <w:szCs w:val="20"/>
        </w:rPr>
        <w:t xml:space="preserve">PAPER-001: The Missing Quarter — Academic Paper Skeleton</w:t>
      </w:r>
    </w:p>
    <w:p>
      <w:pPr>
        <w:spacing w:after="40"/>
      </w:pPr>
      <w:r>
        <w:rPr>
          <w:rFonts w:ascii="Georgia" w:cs="Georgia" w:eastAsia="Georgia" w:hAnsi="Georgia"/>
          <w:sz w:val="20"/>
          <w:szCs w:val="20"/>
        </w:rPr>
        <w:t xml:space="preserve">SAFE-002: Human Operator Manual — Safe Use of AI-Assisted Monitoring</w:t>
      </w:r>
    </w:p>
    <w:p>
      <w:pPr>
        <w:spacing w:after="40"/>
      </w:pPr>
      <w:r>
        <w:rPr>
          <w:rFonts w:ascii="Georgia" w:cs="Georgia" w:eastAsia="Georgia" w:hAnsi="Georgia"/>
          <w:sz w:val="20"/>
          <w:szCs w:val="20"/>
        </w:rPr>
        <w:t xml:space="preserve">TRANS-001: The Information Bridge — Human-Machine Communication Framework</w:t>
      </w:r>
    </w:p>
    <w:p>
      <w:pPr>
        <w:spacing w:after="200"/>
      </w:pPr>
      <w:r>
        <w:rPr>
          <w:rFonts w:ascii="Georgia" w:cs="Georgia" w:eastAsia="Georgia" w:hAnsi="Georgia"/>
          <w:i/>
          <w:iCs/>
          <w:sz w:val="20"/>
          <w:szCs w:val="20"/>
        </w:rPr>
        <w:t xml:space="preserve">Full corpus available on request.</w:t>
      </w:r>
    </w:p>
    <w:p>
      <w:pPr>
        <w:spacing w:before="200"/>
      </w:pPr>
      <w:r>
        <w:rPr>
          <w:rFonts w:ascii="Georgia" w:cs="Georgia" w:eastAsia="Georgia" w:hAnsi="Georgia"/>
          <w:sz w:val="20"/>
          <w:szCs w:val="20"/>
        </w:rPr>
        <w:t xml:space="preserve">Contact: PeterHiggins@RogueWaveAudio.com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2026-03-27T20:27:20.450Z</dcterms:created>
  <dcterms:modified xsi:type="dcterms:W3CDTF">2026-03-27T20:27:20.450Z</dcterms:modified>
</cp:coreProperties>
</file>

<file path=docProps/custom.xml><?xml version="1.0" encoding="utf-8"?>
<Properties xmlns="http://schemas.openxmlformats.org/officeDocument/2006/custom-properties" xmlns:vt="http://schemas.openxmlformats.org/officeDocument/2006/docPropsVTypes"/>
</file>