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2E3440"/>
          <w:sz w:val="56"/>
          <w:szCs w:val="56"/>
        </w:rPr>
        <w:t xml:space="preserve">HFSP MASTER CATALOG</w:t>
      </w:r>
    </w:p>
    <w:p>
      <w:pPr>
        <w:spacing w:before="2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Higgins Fixed-Point Selection Principle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777777"/>
          <w:sz w:val="28"/>
          <w:szCs w:val="28"/>
        </w:rPr>
        <w:t xml:space="preserve">The Practitioner’s Reference</w:t>
      </w:r>
    </w:p>
    <w:p>
      <w:pPr>
        <w:spacing w:before="6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75 Systems  •  7 Categories  •  4 Domains</w:t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Peter Higgins  /  Claude  •  April 2026</w:t>
      </w:r>
    </w:p>
    <w:p>
      <w:pPr>
        <w:spacing w:before="2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EXP-14: Fixed-Point Selection Principle</w:t>
      </w:r>
    </w:p>
    <w:p>
      <w:pPr>
        <w:spacing w:before="100"/>
        <w:jc w:val="center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Hierarchy: CCD → HFPA → HFSP → HDCP → EITT → CIP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Principle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Higgins Fixed-Point Selection Principle (HFSP) states: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the diagnostic anchor must be the composition at the system’s natural equilibrium — determined by the system’s own physics, not by the observer.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Before processing any Device Under Test (DUT) through the CIP chain, consult this catalog to identify the correct domain-native anchor. Using a generic isotropic anchor (1/D) produces polluted diagnostics — the anchor IS the first measurement.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EXP-14 demonstrated this principle on SEMF nuclear binding energy data (AME2020, 3,554 nuclides). When 6 candidate anchors were tested, the structural attractor Ne-20 yielded 2.9× better coherence than the energetic attractor Fe-56 for the F17 diagnostic. Different diagnostics need different anchors — even within the same domain.</w:t>
      </w:r>
    </w:p>
    <w:p>
      <w:pPr>
        <w:pBdr>
          <w:top w:val="single" w:color="F96167" w:sz="6" w:space="1"/>
          <w:bottom w:val="single" w:color="F96167" w:sz="6" w:space="1"/>
          <w:left w:val="single" w:color="F96167" w:sz="6" w:space="1"/>
          <w:right w:val="single" w:color="F96167" w:sz="6" w:space="1"/>
        </w:pBdr>
        <w:spacing w:after="300" w:before="300"/>
        <w:ind w:left="360" w:right="360"/>
      </w:pPr>
      <w:r>
        <w:rPr>
          <w:rFonts w:ascii="Arial" w:cs="Arial" w:eastAsia="Arial" w:hAnsi="Arial"/>
          <w:b/>
          <w:bCs/>
          <w:color w:val="F96167"/>
          <w:sz w:val="22"/>
          <w:szCs w:val="22"/>
        </w:rPr>
        <w:t xml:space="preserve">  RULE: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NEVER process a DUT with a generic barycenter (1/D) anchor unless no domain-native anchor exists. If the native anchor is unknown, the first CIP step is to IDENTIFY it from the data before proceeding.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Fixed-Point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100"/>
        <w:gridCol w:w="700"/>
        <w:gridCol w:w="3960"/>
      </w:tblGrid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34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34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34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3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34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Attractor Type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18"/>
                <w:szCs w:val="18"/>
              </w:rPr>
              <w:t xml:space="preserve">ENERGETIC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 driven toward minimum energy or maximum binding/stability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Global energy minimum on the simplex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949E"/>
                <w:sz w:val="18"/>
                <w:szCs w:val="18"/>
              </w:rPr>
              <w:t xml:space="preserve">CONSERVED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 governed by exact conservation law — unitarity, probability, closure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conservation law itself determines the simplex constraint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29922"/>
                <w:sz w:val="18"/>
                <w:szCs w:val="18"/>
              </w:rPr>
              <w:t xml:space="preserve">EQUILIBRIUM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 governed by thermodynamic, statistical, or market equilibrium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Maximum-entropy or equilibrium partition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18"/>
                <w:szCs w:val="18"/>
              </w:rPr>
              <w:t xml:space="preserve">STRUCTURAL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 organized by geometric, crystallographic, or shell-model constraints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Structural origin — the simplest fully-formed configuration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4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6167"/>
                <w:sz w:val="18"/>
                <w:szCs w:val="18"/>
              </w:rPr>
              <w:t xml:space="preserve">TRANSITION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 governed by a phase transition, critical point, or crossover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Critical composition at the transition boundary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883E"/>
                <w:sz w:val="18"/>
                <w:szCs w:val="18"/>
              </w:rPr>
              <w:t xml:space="preserve">SCALING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 governed by renormalization group, power-law, or scale evolution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Fixed point of the RG flow / scaling transformation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71F7"/>
                <w:sz w:val="18"/>
                <w:szCs w:val="18"/>
              </w:rPr>
              <w:t xml:space="preserve">DIFFRACTION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 governed by wave-geometry interaction (HDCP applies directly)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Composition at λ/a = 1 or ka = 1 (critical wave-geometry ratio)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Domain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6960"/>
      </w:tblGrid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34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34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Systems</w:t>
            </w:r>
          </w:p>
        </w:tc>
        <w:tc>
          <w:tcPr>
            <w:tcW w:type="dxa" w:w="6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34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Categories Present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ENERGY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29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DIFFRACTION, ENERGETIC, EQUILIBRIUM, SCALING, TRANSITION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MATTER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CONSERVED, ENERGETIC, EQUILIBRIUM, SCALING, STRUCTURAL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GRAVITY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CONSERVED, ENERGETIC, EQUILIBRIUM, SCALING, STRUCTURAL, TRANSITION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FORCE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CONSERVED, EQUILIBRIUM, SCALING, STRUCTURAL, TRANSITION</w:t>
            </w:r>
          </w:p>
        </w:tc>
      </w:tr>
    </w:tbl>
    <w:p>
      <w:pPr>
        <w:spacing w:after="2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Lock status: </w:t>
      </w:r>
      <w:r>
        <w:rPr>
          <w:rFonts w:ascii="Arial" w:cs="Arial" w:eastAsia="Arial" w:hAnsi="Arial"/>
          <w:sz w:val="22"/>
          <w:szCs w:val="22"/>
        </w:rPr>
        <w:t xml:space="preserve">1 of 75 systems has been tested with its native anchor (SEMF via EXP-14). The remaining 74 systems have lock results computed with isotropic (1/D) anchors. Re-testing with native anchors is the highest-priority next step.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3FB950"/>
          <w:sz w:val="30"/>
          <w:szCs w:val="30"/>
        </w:rPr>
        <w:t xml:space="preserve">ENERGETIC 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(27 systems)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System driven toward minimum energy or maximum binding/stability</w:t>
      </w:r>
    </w:p>
    <w:p>
      <w:pP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Lyapunov: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V(x) = d²_A(x, x*_energy) where x* is the minimum-energy composition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800"/>
        <w:gridCol w:w="900"/>
        <w:gridCol w:w="4860"/>
      </w:tblGrid>
      <w:tr>
        <w:tc>
          <w:tcPr>
            <w:tcW w:type="dxa" w:w="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3FB9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3FB9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3FB9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3FB9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4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3FB9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Native Anchor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U-238 Decay Chain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Pb-206 (stable end product)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Th-232 Decay Chain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Pb-208 (stable end product)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U-235 Decay Chain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Pb-207 (stable end product)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SEMF Binding Energy Valley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EXP-03/10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Fe-56 (max BE/A: energetic) OR Ne-20 (structural, for F17)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Superheavy Elements Z=118→1000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Island of stability (~Z=164)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IFR Burning Plasma (reference)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EXP-06/08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ENERGY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Ignition point composition (T≈15 keV, DT-dominated)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Spherical Tokamak (STEP/MAST-U)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EXP-06/08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ENERGY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Ignition point (same as IFR)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Conventional Tokamak (ITER)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EXP-06/08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ENERGY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Ignition point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Compact HF Tokamak (SPARC/ARC)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EXP-06/08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ENERGY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Ignition point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Krell Level 1 (Boosted)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EXP-06K/08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ENERGY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Post-ignition composition (T&gt;50 keV)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Krell Level 2 (Cyclotron wall)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EXP-06J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ENERGY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Radiation-limited composition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Stellarator (W7-X/HELIAS)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EXP-06H/08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ENERGY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Ignition point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Inertial Confinement (NIF)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EXP-06H/08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ENERGY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Ignition point (same physics, different confinement)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FRC / TAE Helion (D-He3)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EXP-06H/08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ENERGY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D-He3 dominated composition (T&gt;100 keV)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Proton-Boron (p-B11)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EXP-06H/08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ENERGY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p-B11 regime (extremely high 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Magnetic Mirror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EXP-06H/08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ENERGY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Ignition point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Z-Pinch (Zap Energy)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EXP-06H/08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ENERGY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Ignition point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Magnetised Target (General Fusion)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EXP-06H/08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ENERGY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Ignition point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Spheromak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EXP-06H/08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ENERGY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Ignition point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Muon-Catalysed Fusion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EXP-06H/08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ENERGY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Room temperature DT (no plasma needed)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D-He3 Aneutronic Magnetic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EXP-06H/08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ENERGY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D-He3 dominated (T&gt;200 keV)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Electrostatic Fusor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EXP-06H/08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ENERGY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DD-dominated (low efficiency regime)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D-T Reaction Rate Composition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ENERGY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Peak reactivity composition (T≈64 keV)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Energy Partition (5-channel)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ENERGY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Ignition point energy partition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Sun (pp-chain core)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EXP-06I/08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GRAVITY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Main sequence equilibrium (pp-dominated, CNO≈2%)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Neutron Star EOS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EXP-11/CROSS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GRAVITY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TOV maximum mass composition (M_max ≈ 2.2 M☉)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Nuclide Z-chains (8 isobar series)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GRAVITY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Valley of stability composition for each A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8B949E"/>
          <w:sz w:val="30"/>
          <w:szCs w:val="30"/>
        </w:rPr>
        <w:t xml:space="preserve">CONSERVED 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(12 systems)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System governed by exact conservation law — unitarity, probability, closure</w:t>
      </w:r>
    </w:p>
    <w:p>
      <w:pP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Lyapunov: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V(x) = d²_A(x, x*_unit) where x* is the unitary-symmetric composition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800"/>
        <w:gridCol w:w="900"/>
        <w:gridCol w:w="4860"/>
      </w:tblGrid>
      <w:tr>
        <w:tc>
          <w:tcPr>
            <w:tcW w:type="dxa" w:w="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B94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B94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B94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B94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4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B94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Native Anchor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Proton Spin Budget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EXP-07B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½ = ΔΣ/2 + ΔG + L (unitarity constraint)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CKM Mixing Matrix (u-row)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EXP-07B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Unity row sum (unitarity: |V_ud|²+|V_us|²+|V_ub|²=1)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GW150914 BBH Merger (mass budget)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GRAVITY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Equal-mass merger (M₁=M₂, M_rad→0)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GW150914 Phase Budget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GRAVITY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Equal-phase partition (1/3, 1/3, 1/3)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GW150914 QNM Mode Composition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GRAVITY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Fundamental mode dominated (l=2,m=2 ≈ 97%)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GW170817 BNS Merger (matter bonus)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GRAVITY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GW-dominated partition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Strong CP Problem (QCD vacuum)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FORCE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CP-conserving (θ=0)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CKM Full 3×3 Matrix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FORCE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Identity matrix (no mixing)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PMNS Matrix (Lepton Mixing)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FORCE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Tribimaximal mixing pattern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Higgs Branching Ratios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FORCE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SM prediction (fixed by Yukawa couplings + gauge)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CMB Power Spectrum Composition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EXP-10/11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FORCE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ΛCDM best-fit (0.049, 0.265, 0.686)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Dark Matter / Baryon Ratio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FORCE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DM:Baryon ≈ 5.4:1 (Planck)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D29922"/>
          <w:sz w:val="30"/>
          <w:szCs w:val="30"/>
        </w:rPr>
        <w:t xml:space="preserve">EQUILIBRIUM 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(12 systems)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System governed by thermodynamic, statistical, or market equilibrium</w:t>
      </w:r>
    </w:p>
    <w:p>
      <w:pP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Lyapunov: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V(x) = d²_A(x, x*_eq) where x* is the equilibrium composition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800"/>
        <w:gridCol w:w="900"/>
        <w:gridCol w:w="4860"/>
      </w:tblGrid>
      <w:tr>
        <w:tc>
          <w:tcPr>
            <w:tcW w:type="dxa" w:w="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299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299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299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299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4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299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Native Anchor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Blood Composition by 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Adult homeostasis composition (age 25-35)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Gut Microbiome Colonisation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Adult climax community (stable adult microbiome)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Gold/Silver Price Ratio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Historical mean ratio (~65:1 gold/silver)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Planetary Atmospheres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Earth atmosphere (78% N₂, 21% O₂)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European Energy Prices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ENERGY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Pre-crisis price composition (2019)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Wine Fermentation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ENERGY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Fermentation endpoint (all sugar converted)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Bacterial Growth Kinetics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ENERGY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Stationary phase composition (carrying capacity)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Ocean Salinity Profiles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GRAVITY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Standard ocean salinity (35 psu composition)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Tsunami Sediment Transport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GRAVITY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Normal shelf sedimentation composition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Demographics (HDI index)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FORCE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OECD average HDI composition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Cardiac Arrhythmia Patterns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FORCE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Normal sinus rhythm composition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Atmospheric Chemistry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FORCE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Pre-industrial atmosphere composition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028090"/>
          <w:sz w:val="30"/>
          <w:szCs w:val="30"/>
        </w:rPr>
        <w:t xml:space="preserve">STRUCTURAL 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(8 systems)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System organized by geometric, crystallographic, or shell-model constraints</w:t>
      </w:r>
    </w:p>
    <w:p>
      <w:pP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Lyapunov: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V(x) = d²_A(x, x*_struct) where x* is the lightest/simplest stable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800"/>
        <w:gridCol w:w="900"/>
        <w:gridCol w:w="4860"/>
      </w:tblGrid>
      <w:tr>
        <w:tc>
          <w:tcPr>
            <w:tcW w:type="dxa" w:w="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28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28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28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28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4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28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Native Anchor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Igneous Rocks (full series)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Andesite-dacite boundary (SiO₂≈59%)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Plutonic Rocks (subset)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Granodiorite composition (SiO₂≈66%)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Volcanic Rocks (subset)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Basalt-andesite boundary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Intermediate Rocks (subset)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Diorite composition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Nuclide Chart (AME2020)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N/Z = 1 line (light nuclei stability line)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Exotic Hadrons (X, Z, Pc, Tcc)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50:50 molecular-compact (structural neutrality)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Gravity Role Classification (24 systems)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GRAVITY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Scale-dependent classification boundary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Soil Mineralogy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FORCE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Parent rock composition (unweathered)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F96167"/>
          <w:sz w:val="30"/>
          <w:szCs w:val="30"/>
        </w:rPr>
        <w:t xml:space="preserve">TRANSITION 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(8 systems)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System governed by a phase transition, critical point, or crossover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Lyapunov: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V(x) = d²_A(x, x*_crit) at the phase boundary composition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800"/>
        <w:gridCol w:w="900"/>
        <w:gridCol w:w="4860"/>
      </w:tblGrid>
      <w:tr>
        <w:tc>
          <w:tcPr>
            <w:tcW w:type="dxa" w:w="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616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616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616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616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4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9616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Native Anchor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 State Energy Mix (10 states)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ENERGY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National average mix (2012 midpoint)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4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4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NGFS Climate Energy Scenarios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4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4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ENERGY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4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Net-zero 2050 composition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QGP (Quark-Gluon Plasma)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EXP-07/07B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ENERGY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Critical temperature T_c ≈ 155 MeV composition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4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4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Color Confinement (qq̄ pair)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4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4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ENERGY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4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Confinement radius composition (r ≈ 1 fm)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Stellar Nucleosynthesis (BBN)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GRAVITY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Freeze-out composition (T≈0.1 MeV)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4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4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Kilonova r-process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4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4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GRAVITY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4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Neutron-rich freeze-out composition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Stellar Mass Sequence (pp→CNO)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GRAVITY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CNO transition mass (M ≈ 1.3 M☉)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4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4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QGP Freeze-out (7 hadron species)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4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EXP-07/CROSS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4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FORCE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4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Chemical freeze-out composition (T≈155 MeV, μ_B≈30 MeV)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F0883E"/>
          <w:sz w:val="30"/>
          <w:szCs w:val="30"/>
        </w:rPr>
        <w:t xml:space="preserve">SCALING 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(6 systems)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System governed by renormalization group, power-law, or scale evolution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Lyapunov: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V(x) = d²_A(x, x*_rg) at the RG fixed-point composition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800"/>
        <w:gridCol w:w="900"/>
        <w:gridCol w:w="4860"/>
      </w:tblGrid>
      <w:tr>
        <w:tc>
          <w:tcPr>
            <w:tcW w:type="dxa" w:w="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88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88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88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88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4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88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Native Anchor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Proton Mass Budget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QCD vacuum composition at proton scale (Q≈1 GeV)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Parton Momentum (DGLAP evolution)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EXP-07/10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Asymptotic composition at Q→∞ (gluon-dominated)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Quark Flavor Mass Hierarchy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EXP-07B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Top-quark dominated (t/total ≈ 0.97)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QCD Running Coupling αs(Q)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ENERGY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Asymptotic freedom fixed point (αs→0 as Q→∞)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Cosmic Ray Flux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GRAVITY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GeV composition (solar modulation boundary)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EMC Effect (nuclear PDFs)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FORCE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Free nucleon PDF composition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A371F7"/>
          <w:sz w:val="30"/>
          <w:szCs w:val="30"/>
        </w:rPr>
        <w:t xml:space="preserve">DIFFRACTION 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(2 systems)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System governed by wave-geometry interaction (HDCP applies directly)</w:t>
      </w:r>
    </w:p>
    <w:p>
      <w:pP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Lyapunov: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V(x) = d²_A(x, x*_diff) at the diffraction transition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800"/>
        <w:gridCol w:w="900"/>
        <w:gridCol w:w="4860"/>
      </w:tblGrid>
      <w:tr>
        <w:tc>
          <w:tcPr>
            <w:tcW w:type="dxa" w:w="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A371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A371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A371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A371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4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A371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Native Anchor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RC Bandpass Filter Response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EXP-04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ENERGY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Center frequency composition (f₀ = 1/2πRC)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Room Acoustics Spectrum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ENERGY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Schroeder frequency composition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Open Questions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These seven questions remain for the investigator to examine. Their resolution determines whether the catalog makes CIP the killer app for natural systems study.</w:t>
      </w:r>
    </w:p>
    <w:p>
      <w:pPr>
        <w:pBdr>
          <w:left w:val="single" w:color="3FB950" w:sz="12" w:space="8"/>
        </w:pBdr>
        <w:spacing w:after="100" w:before="200"/>
        <w:ind w:left="200"/>
      </w:pPr>
      <w:r>
        <w:rPr>
          <w:rFonts w:ascii="Arial" w:cs="Arial" w:eastAsia="Arial" w:hAnsi="Arial"/>
          <w:b/>
          <w:bCs/>
          <w:color w:val="2E3440"/>
          <w:sz w:val="22"/>
          <w:szCs w:val="22"/>
        </w:rPr>
        <w:t xml:space="preserve">Q1: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Does the Ne-20 structural attractor generalise? Is there a 'structural origin' for every domain, distinct from the energetic attractor? Test on geochemistry (simplest rock) and fusion (lightest fuel cycle).</w:t>
      </w:r>
    </w:p>
    <w:p>
      <w:pPr>
        <w:pBdr>
          <w:left w:val="single" w:color="3FB950" w:sz="12" w:space="8"/>
        </w:pBdr>
        <w:spacing w:after="100" w:before="200"/>
        <w:ind w:left="200"/>
      </w:pPr>
      <w:r>
        <w:rPr>
          <w:rFonts w:ascii="Arial" w:cs="Arial" w:eastAsia="Arial" w:hAnsi="Arial"/>
          <w:b/>
          <w:bCs/>
          <w:color w:val="2E3440"/>
          <w:sz w:val="22"/>
          <w:szCs w:val="22"/>
        </w:rPr>
        <w:t xml:space="preserve">Q2: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For HUNT systems without data — can the native anchor be predicted from domain physics alone? If yes, the catalog becomes prescriptive, not just descriptive.</w:t>
      </w:r>
    </w:p>
    <w:p>
      <w:pPr>
        <w:pBdr>
          <w:left w:val="single" w:color="3FB950" w:sz="12" w:space="8"/>
        </w:pBdr>
        <w:spacing w:after="100" w:before="200"/>
        <w:ind w:left="200"/>
      </w:pPr>
      <w:r>
        <w:rPr>
          <w:rFonts w:ascii="Arial" w:cs="Arial" w:eastAsia="Arial" w:hAnsi="Arial"/>
          <w:b/>
          <w:bCs/>
          <w:color w:val="2E3440"/>
          <w:sz w:val="22"/>
          <w:szCs w:val="22"/>
        </w:rPr>
        <w:t xml:space="preserve">Q3: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17 fusion devices share the same energetic attractor (ignition). Does device geometry create structural sub-anchors? Is there a 'Ne-20 of fusion' — the simplest viable reactor from which all others are perturbations?</w:t>
      </w:r>
    </w:p>
    <w:p>
      <w:pPr>
        <w:pBdr>
          <w:left w:val="single" w:color="3FB950" w:sz="12" w:space="8"/>
        </w:pBdr>
        <w:spacing w:after="100" w:before="200"/>
        <w:ind w:left="200"/>
      </w:pPr>
      <w:r>
        <w:rPr>
          <w:rFonts w:ascii="Arial" w:cs="Arial" w:eastAsia="Arial" w:hAnsi="Arial"/>
          <w:b/>
          <w:bCs/>
          <w:color w:val="2E3440"/>
          <w:sz w:val="22"/>
          <w:szCs w:val="22"/>
        </w:rPr>
        <w:t xml:space="preserve">Q4: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For CONSERVED systems (CKM, PMNS, Higgs), distance from the SM anchor IS the BSM signal. Can HFSP provide a unified BSM search metric? σ²_A(x_measured, x_SM) as a single number?</w:t>
      </w:r>
    </w:p>
    <w:p>
      <w:pPr>
        <w:pBdr>
          <w:left w:val="single" w:color="3FB950" w:sz="12" w:space="8"/>
        </w:pBdr>
        <w:spacing w:after="100" w:before="200"/>
        <w:ind w:left="200"/>
      </w:pPr>
      <w:r>
        <w:rPr>
          <w:rFonts w:ascii="Arial" w:cs="Arial" w:eastAsia="Arial" w:hAnsi="Arial"/>
          <w:b/>
          <w:bCs/>
          <w:color w:val="2E3440"/>
          <w:sz w:val="22"/>
          <w:szCs w:val="22"/>
        </w:rPr>
        <w:t xml:space="preserve">Q5: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Does the HFSP catalog make CIP self-selecting? Given a new DUT, can the catalog auto-identify the closest domain and prescribe the anchor — making the tool a genuine killer app for natural systems study?</w:t>
      </w:r>
    </w:p>
    <w:p>
      <w:pPr>
        <w:pBdr>
          <w:left w:val="single" w:color="3FB950" w:sz="12" w:space="8"/>
        </w:pBdr>
        <w:spacing w:after="100" w:before="200"/>
        <w:ind w:left="200"/>
      </w:pPr>
      <w:r>
        <w:rPr>
          <w:rFonts w:ascii="Arial" w:cs="Arial" w:eastAsia="Arial" w:hAnsi="Arial"/>
          <w:b/>
          <w:bCs/>
          <w:color w:val="2E3440"/>
          <w:sz w:val="22"/>
          <w:szCs w:val="22"/>
        </w:rPr>
        <w:t xml:space="preserve">Q6: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isotropic anchor (1/D) is NOT always wrong — for GW phase budgets, it IS physically meaningful. When does the generic anchor coincide with the native one? Is there a criterion?</w:t>
      </w:r>
    </w:p>
    <w:p>
      <w:pPr>
        <w:pBdr>
          <w:left w:val="single" w:color="3FB950" w:sz="12" w:space="8"/>
        </w:pBdr>
        <w:spacing w:after="100" w:before="200"/>
        <w:ind w:left="200"/>
      </w:pPr>
      <w:r>
        <w:rPr>
          <w:rFonts w:ascii="Arial" w:cs="Arial" w:eastAsia="Arial" w:hAnsi="Arial"/>
          <w:b/>
          <w:bCs/>
          <w:color w:val="2E3440"/>
          <w:sz w:val="22"/>
          <w:szCs w:val="22"/>
        </w:rPr>
        <w:t xml:space="preserve">Q7: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Can EITT entropy invariance be IMPROVED by anchor selection? Does H(x⊖x*) show tighter invariance than H(x) for the correct x*? This would close the loop: HFSP → better EITT → better CIP → better HFSP.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Complete System Reference</w:t>
      </w:r>
    </w:p>
    <w:p>
      <w:pPr>
        <w:spacing w:after="15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All 75 systems sorted by ID. D = compositional dimension. Lock = tested with native anchor.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2200"/>
        <w:gridCol w:w="650"/>
        <w:gridCol w:w="800"/>
        <w:gridCol w:w="400"/>
        <w:gridCol w:w="1200"/>
        <w:gridCol w:w="3760"/>
      </w:tblGrid>
      <w:tr>
        <w:tc>
          <w:tcPr>
            <w:tcW w:type="dxa" w:w="3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34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34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6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34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34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34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34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34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Native Anchor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Igneous Rocks (full series)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MATTER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14"/>
                <w:szCs w:val="14"/>
              </w:rPr>
              <w:t xml:space="preserve">STRUCTURAL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Andesite-dacite boundary (SiO₂≈59%)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Plutonic Rocks (subset)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MATTER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14"/>
                <w:szCs w:val="14"/>
              </w:rPr>
              <w:t xml:space="preserve">STRUCTURAL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Granodiorite composition (SiO₂≈66%)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Volcanic Rocks (subset)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MATTER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14"/>
                <w:szCs w:val="14"/>
              </w:rPr>
              <w:t xml:space="preserve">STRUCTURAL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Basalt-andesite boundary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Intermediate Rocks (subset)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MATTER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14"/>
                <w:szCs w:val="14"/>
              </w:rPr>
              <w:t xml:space="preserve">STRUCTURAL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Diorite composition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U-238 Decay Chain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MATTER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14"/>
                <w:szCs w:val="14"/>
              </w:rPr>
              <w:t xml:space="preserve">ENERGETIC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Pb-206 (stable end product)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Th-232 Decay Chain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MATTER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14"/>
                <w:szCs w:val="14"/>
              </w:rPr>
              <w:t xml:space="preserve">ENERGETIC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Pb-208 (stable end product)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U-235 Decay Chain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MATTER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14"/>
                <w:szCs w:val="14"/>
              </w:rPr>
              <w:t xml:space="preserve">ENERGETIC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Pb-207 (stable end product)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SEMF Binding Energy Valley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EXP-03/10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MATTER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14"/>
                <w:szCs w:val="14"/>
              </w:rPr>
              <w:t xml:space="preserve">ENERGETIC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Fe-56 (max BE/A: energetic) OR Ne-20 (structural, for F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Nuclide Chart (AME2020)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MATTER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14"/>
                <w:szCs w:val="14"/>
              </w:rPr>
              <w:t xml:space="preserve">STRUCTURAL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N/Z = 1 line (light nuclei stability line)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Superheavy Elements Z=118→1000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MATTER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14"/>
                <w:szCs w:val="14"/>
              </w:rPr>
              <w:t xml:space="preserve">ENERGETIC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Island of stability (~Z=164)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Proton Mass Budget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MATTER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883E"/>
                <w:sz w:val="14"/>
                <w:szCs w:val="14"/>
              </w:rPr>
              <w:t xml:space="preserve">SCALING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QCD vacuum composition at proton scale (Q≈1 GeV)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Proton Spin Budget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EXP-07B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MATTER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949E"/>
                <w:sz w:val="14"/>
                <w:szCs w:val="14"/>
              </w:rPr>
              <w:t xml:space="preserve">CONSERVED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½ = ΔΣ/2 + ΔG + L (unitarity constraint)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Parton Momentum (DGLAP evolution)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EXP-07/10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MATTER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883E"/>
                <w:sz w:val="14"/>
                <w:szCs w:val="14"/>
              </w:rPr>
              <w:t xml:space="preserve">SCALING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Asymptotic composition at Q→∞ (gluon-dominated)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Quark Flavor Mass Hierarchy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EXP-07B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MATTER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883E"/>
                <w:sz w:val="14"/>
                <w:szCs w:val="14"/>
              </w:rPr>
              <w:t xml:space="preserve">SCALING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Top-quark dominated (t/total ≈ 0.97)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CKM Mixing Matrix (u-row)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EXP-07B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MATTER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949E"/>
                <w:sz w:val="14"/>
                <w:szCs w:val="14"/>
              </w:rPr>
              <w:t xml:space="preserve">CONSERVED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Unity row sum (unitarity: |V_ud|²+|V_us|²+|V_ub|²=1)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Exotic Hadrons (X, Z, Pc, Tcc)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MATTER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14"/>
                <w:szCs w:val="14"/>
              </w:rPr>
              <w:t xml:space="preserve">STRUCTURAL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50:50 molecular-compact (structural neutrality)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Blood Composition by Age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MATTER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29922"/>
                <w:sz w:val="14"/>
                <w:szCs w:val="14"/>
              </w:rPr>
              <w:t xml:space="preserve">EQUILIBRIUM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Adult homeostasis composition (age 25-35)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Gut Microbiome Colonisation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MATTER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29922"/>
                <w:sz w:val="14"/>
                <w:szCs w:val="14"/>
              </w:rPr>
              <w:t xml:space="preserve">EQUILIBRIUM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Adult climax community (stable adult microbiome)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Gold/Silver Price Ratio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MATTER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29922"/>
                <w:sz w:val="14"/>
                <w:szCs w:val="14"/>
              </w:rPr>
              <w:t xml:space="preserve">EQUILIBRIUM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Historical mean ratio (~65:1 gold/silver)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Planetary Atmospheres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MATTER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29922"/>
                <w:sz w:val="14"/>
                <w:szCs w:val="14"/>
              </w:rPr>
              <w:t xml:space="preserve">EQUILIBRIUM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Earth atmosphere (78% N₂, 21% O₂)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IFR Burning Plasma (reference)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EXP-06/08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ENERGY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14"/>
                <w:szCs w:val="14"/>
              </w:rPr>
              <w:t xml:space="preserve">ENERGETIC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Ignition point composition (T≈15 keV, DT-dominated)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Spherical Tokamak (STEP/MAST-U)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EXP-06/08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ENERGY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14"/>
                <w:szCs w:val="14"/>
              </w:rPr>
              <w:t xml:space="preserve">ENERGETIC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Ignition point (same as IFR)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Conventional Tokamak (ITER)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EXP-06/08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ENERGY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14"/>
                <w:szCs w:val="14"/>
              </w:rPr>
              <w:t xml:space="preserve">ENERGETIC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Ignition point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Compact HF Tokamak (SPARC/ARC)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EXP-06/08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ENERGY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14"/>
                <w:szCs w:val="14"/>
              </w:rPr>
              <w:t xml:space="preserve">ENERGETIC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Ignition point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Krell Level 1 (Boosted)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EXP-06K/08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ENERGY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14"/>
                <w:szCs w:val="14"/>
              </w:rPr>
              <w:t xml:space="preserve">ENERGETIC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Post-ignition composition (T&gt;50 keV)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Krell Level 2 (Cyclotron wall)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EXP-06J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ENERGY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14"/>
                <w:szCs w:val="14"/>
              </w:rPr>
              <w:t xml:space="preserve">ENERGETIC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Radiation-limited composition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Stellarator (W7-X/HELIAS)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EXP-06H/08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ENERGY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14"/>
                <w:szCs w:val="14"/>
              </w:rPr>
              <w:t xml:space="preserve">ENERGETIC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Ignition point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Inertial Confinement (NIF)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EXP-06H/08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ENERGY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14"/>
                <w:szCs w:val="14"/>
              </w:rPr>
              <w:t xml:space="preserve">ENERGETIC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Ignition point (same physics, different confinement)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FRC / TAE Helion (D-He3)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EXP-06H/08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ENERGY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14"/>
                <w:szCs w:val="14"/>
              </w:rPr>
              <w:t xml:space="preserve">ENERGETIC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D-He3 dominated composition (T&gt;100 keV)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Proton-Boron (p-B11)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EXP-06H/08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ENERGY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14"/>
                <w:szCs w:val="14"/>
              </w:rPr>
              <w:t xml:space="preserve">ENERGETIC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p-B11 regime (extremely high T)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Magnetic Mirror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EXP-06H/08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ENERGY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14"/>
                <w:szCs w:val="14"/>
              </w:rPr>
              <w:t xml:space="preserve">ENERGETIC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Ignition point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Z-Pinch (Zap Energy)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EXP-06H/08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ENERGY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14"/>
                <w:szCs w:val="14"/>
              </w:rPr>
              <w:t xml:space="preserve">ENERGETIC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Ignition point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Magnetised Target (General Fusion)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EXP-06H/08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ENERGY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14"/>
                <w:szCs w:val="14"/>
              </w:rPr>
              <w:t xml:space="preserve">ENERGETIC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Ignition point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Spheromak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EXP-06H/08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ENERGY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14"/>
                <w:szCs w:val="14"/>
              </w:rPr>
              <w:t xml:space="preserve">ENERGETIC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Ignition point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Muon-Catalysed Fusion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EXP-06H/08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ENERGY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14"/>
                <w:szCs w:val="14"/>
              </w:rPr>
              <w:t xml:space="preserve">ENERGETIC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Room temperature DT (no plasma needed)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D-He3 Aneutronic Magnetic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EXP-06H/08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ENERGY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14"/>
                <w:szCs w:val="14"/>
              </w:rPr>
              <w:t xml:space="preserve">ENERGETIC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D-He3 dominated (T&gt;200 keV)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Electrostatic Fusor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EXP-06H/08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ENERGY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14"/>
                <w:szCs w:val="14"/>
              </w:rPr>
              <w:t xml:space="preserve">ENERGETIC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DD-dominated (low efficiency regime)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D-T Reaction Rate Composition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ENERGY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14"/>
                <w:szCs w:val="14"/>
              </w:rPr>
              <w:t xml:space="preserve">ENERGETIC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Peak reactivity composition (T≈64 keV)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Energy Partition (5-channel)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ENERGY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14"/>
                <w:szCs w:val="14"/>
              </w:rPr>
              <w:t xml:space="preserve">ENERGETIC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Ignition point energy partition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US State Energy Mix (10 states)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ENERGY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4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6167"/>
                <w:sz w:val="14"/>
                <w:szCs w:val="14"/>
              </w:rPr>
              <w:t xml:space="preserve">TRANSITION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National average mix (2012 midpoint)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European Energy Prices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ENERGY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29922"/>
                <w:sz w:val="14"/>
                <w:szCs w:val="14"/>
              </w:rPr>
              <w:t xml:space="preserve">EQUILIBRIUM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Pre-crisis price composition (2019)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NGFS Climate Energy Scenarios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ENERGY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4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6167"/>
                <w:sz w:val="14"/>
                <w:szCs w:val="14"/>
              </w:rPr>
              <w:t xml:space="preserve">TRANSITION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Net-zero 2050 composition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RC Bandpass Filter Response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ENERGY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71F7"/>
                <w:sz w:val="14"/>
                <w:szCs w:val="14"/>
              </w:rPr>
              <w:t xml:space="preserve">DIFFRACTION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Center frequency composition (f₀ = 1/2πRC)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Room Acoustics Spectrum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ENERGY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71F7"/>
                <w:sz w:val="14"/>
                <w:szCs w:val="14"/>
              </w:rPr>
              <w:t xml:space="preserve">DIFFRACTION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Schroeder frequency composition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QGP (Quark-Gluon Plasma)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EXP-07/07B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ENERGY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4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6167"/>
                <w:sz w:val="14"/>
                <w:szCs w:val="14"/>
              </w:rPr>
              <w:t xml:space="preserve">TRANSITION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Critical temperature T_c ≈ 155 MeV composition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Color Confinement (qq̄ pair)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ENERGY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4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6167"/>
                <w:sz w:val="14"/>
                <w:szCs w:val="14"/>
              </w:rPr>
              <w:t xml:space="preserve">TRANSITION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Confinement radius composition (r ≈ 1 fm)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QCD Running Coupling αs(Q)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ENERGY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883E"/>
                <w:sz w:val="14"/>
                <w:szCs w:val="14"/>
              </w:rPr>
              <w:t xml:space="preserve">SCALING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Asymptotic freedom fixed point (αs→0 as Q→∞)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Wine Fermentation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ENERGY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29922"/>
                <w:sz w:val="14"/>
                <w:szCs w:val="14"/>
              </w:rPr>
              <w:t xml:space="preserve">EQUILIBRIUM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Fermentation endpoint (all sugar converted)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Bacterial Growth Kinetics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ENERGY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29922"/>
                <w:sz w:val="14"/>
                <w:szCs w:val="14"/>
              </w:rPr>
              <w:t xml:space="preserve">EQUILIBRIUM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Stationary phase composition (carrying capacity)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Sun (pp-chain core)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EXP-06I/08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GRAVITY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14"/>
                <w:szCs w:val="14"/>
              </w:rPr>
              <w:t xml:space="preserve">ENERGETIC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Main sequence equilibrium (pp-dominated, CNO≈2%)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Stellar Nucleosynthesis (BBN)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GRAVITY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4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6167"/>
                <w:sz w:val="14"/>
                <w:szCs w:val="14"/>
              </w:rPr>
              <w:t xml:space="preserve">TRANSITION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Freeze-out composition (T≈0.1 MeV)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Neutron Star EOS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EXP-11/CRO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GRAVITY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14"/>
                <w:szCs w:val="14"/>
              </w:rPr>
              <w:t xml:space="preserve">ENERGETIC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TOV maximum mass composition (M_max ≈ 2.2 M☉)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Kilonova r-process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GRAVITY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4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6167"/>
                <w:sz w:val="14"/>
                <w:szCs w:val="14"/>
              </w:rPr>
              <w:t xml:space="preserve">TRANSITION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Neutron-rich freeze-out composition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Cosmic Ray Flux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GRAVITY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883E"/>
                <w:sz w:val="14"/>
                <w:szCs w:val="14"/>
              </w:rPr>
              <w:t xml:space="preserve">SCALING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GeV composition (solar modulation boundary)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Ocean Salinity Profiles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GRAVITY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29922"/>
                <w:sz w:val="14"/>
                <w:szCs w:val="14"/>
              </w:rPr>
              <w:t xml:space="preserve">EQUILIBRIUM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Standard ocean salinity (35 psu composition)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Tsunami Sediment Transport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GRAVITY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29922"/>
                <w:sz w:val="14"/>
                <w:szCs w:val="14"/>
              </w:rPr>
              <w:t xml:space="preserve">EQUILIBRIUM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Normal shelf sedimentation composition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Nuclide Z-chains (8 isobar series)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GRAVITY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14"/>
                <w:szCs w:val="14"/>
              </w:rPr>
              <w:t xml:space="preserve">ENERGETIC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Valley of stability composition for each A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Stellar Mass Sequence (pp→CNO)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GRAVITY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4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6167"/>
                <w:sz w:val="14"/>
                <w:szCs w:val="14"/>
              </w:rPr>
              <w:t xml:space="preserve">TRANSITION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CNO transition mass (M ≈ 1.3 M☉)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GW150914 BBH Merger (mass budget)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GRAVITY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949E"/>
                <w:sz w:val="14"/>
                <w:szCs w:val="14"/>
              </w:rPr>
              <w:t xml:space="preserve">CONSERVED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Equal-mass merger (M₁=M₂, M_rad→0)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GW150914 Phase Budget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GRAVITY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949E"/>
                <w:sz w:val="14"/>
                <w:szCs w:val="14"/>
              </w:rPr>
              <w:t xml:space="preserve">CONSERVED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Equal-phase partition (1/3, 1/3, 1/3)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61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GW150914 QNM Mode Composition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GRAVITY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949E"/>
                <w:sz w:val="14"/>
                <w:szCs w:val="14"/>
              </w:rPr>
              <w:t xml:space="preserve">CONSERVED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Fundamental mode dominated (l=2,m=2 ≈ 97%)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62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GW170817 BNS Merger (matter bonus)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GRAVITY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949E"/>
                <w:sz w:val="14"/>
                <w:szCs w:val="14"/>
              </w:rPr>
              <w:t xml:space="preserve">CONSERVED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GW-dominated partition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63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Gravity Role Classification (24 sys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GRAVITY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14"/>
                <w:szCs w:val="14"/>
              </w:rPr>
              <w:t xml:space="preserve">STRUCTURAL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Scale-dependent classification boundary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Strong CP Problem (QCD vacuum)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FORCE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949E"/>
                <w:sz w:val="14"/>
                <w:szCs w:val="14"/>
              </w:rPr>
              <w:t xml:space="preserve">CONSERVED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CP-conserving (θ=0)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65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EMC Effect (nuclear PDFs)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FORCE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883E"/>
                <w:sz w:val="14"/>
                <w:szCs w:val="14"/>
              </w:rPr>
              <w:t xml:space="preserve">SCALING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Free nucleon PDF composition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66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QGP Freeze-out (7 hadron species)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EXP-07/CRO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FORCE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4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6167"/>
                <w:sz w:val="14"/>
                <w:szCs w:val="14"/>
              </w:rPr>
              <w:t xml:space="preserve">TRANSITION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Chemical freeze-out composition (T≈155 MeV, μ_B≈30 MeV)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67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CKM Full 3×3 Matrix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FORCE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949E"/>
                <w:sz w:val="14"/>
                <w:szCs w:val="14"/>
              </w:rPr>
              <w:t xml:space="preserve">CONSERVED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Identity matrix (no mixing)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68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PMNS Matrix (Lepton Mixing)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FORCE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949E"/>
                <w:sz w:val="14"/>
                <w:szCs w:val="14"/>
              </w:rPr>
              <w:t xml:space="preserve">CONSERVED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Tribimaximal mixing pattern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69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Higgs Branching Ratios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FORCE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949E"/>
                <w:sz w:val="14"/>
                <w:szCs w:val="14"/>
              </w:rPr>
              <w:t xml:space="preserve">CONSERVED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SM prediction (fixed by Yukawa couplings + gauge)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70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CMB Power Spectrum Composition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EXP-10/11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FORCE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949E"/>
                <w:sz w:val="14"/>
                <w:szCs w:val="14"/>
              </w:rPr>
              <w:t xml:space="preserve">CONSERVED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ΛCDM best-fit (0.049, 0.265, 0.686)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71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Dark Matter / Baryon Ratio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EXP-11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FORCE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949E"/>
                <w:sz w:val="14"/>
                <w:szCs w:val="14"/>
              </w:rPr>
              <w:t xml:space="preserve">CONSERVED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DM:Baryon ≈ 5.4:1 (Planck)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72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Demographics (HDI index)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FORCE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29922"/>
                <w:sz w:val="14"/>
                <w:szCs w:val="14"/>
              </w:rPr>
              <w:t xml:space="preserve">EQUILIBRIUM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OECD average HDI composition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73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Cardiac Arrhythmia Patterns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FORCE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29922"/>
                <w:sz w:val="14"/>
                <w:szCs w:val="14"/>
              </w:rPr>
              <w:t xml:space="preserve">EQUILIBRIUM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Normal sinus rhythm composition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74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Atmospheric Chemistry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FORCE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29922"/>
                <w:sz w:val="14"/>
                <w:szCs w:val="14"/>
              </w:rPr>
              <w:t xml:space="preserve">EQUILIBRIUM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Pre-industrial atmosphere composition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Soil Mineralogy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FORCE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14"/>
                <w:szCs w:val="14"/>
              </w:rPr>
              <w:t xml:space="preserve">STRUCTURAL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Parent rock composition (unweathered)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AAAAAA"/>
        <w:sz w:val="16"/>
        <w:szCs w:val="16"/>
      </w:rPr>
      <w:t xml:space="preserve">HFSP Master Catalog  •  Higgins Tool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2026-04-20T22:56:30.216Z</dcterms:created>
  <dcterms:modified xsi:type="dcterms:W3CDTF">2026-04-20T22:56:30.216Z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