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HIGGINS UNITY FRAMEWORK</w:t>
      </w:r>
    </w:p>
    <w:p>
      <w:pPr>
        <w:spacing w:after="6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Collective Trace Report v5.1</w:t>
      </w:r>
    </w:p>
    <w:p>
      <w:pPr>
        <w:spacing w:after="60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Peter Higgins</w:t>
      </w: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March 2026</w:t>
      </w:r>
    </w:p>
    <w:p>
      <w:pPr>
        <w:spacing w:after="0" w:before="80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1F3864"/>
          <w:sz w:val="24"/>
          <w:szCs w:val="24"/>
        </w:rPr>
        <w:t xml:space="preserve">"Big Things Ahead — From Loudspeakers to Cosmology"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1: The Car Analogy — HUF in One Image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Car/Fuel Analogy is the universal teaching tool for the Higgins Unity Framework. Every person understands driving. Every person understands fuel. This analogy transforms abstract mathematics into lived experience.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 Setup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You get in your car. The tank is full. The budget is always 1.0 — fully accounted for, never created or destroyed. This is the Unity Constraint: Σ = 1.0.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driver holds the wheel. The fuel burns in the engine. At the start, the split is roughly 51/49 — driver holds control, fuel is nearly co-equal. This is the Ratio Portfolio: two components that sum to unity, with each playing its role.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 Signal: Watching the Ratio Drift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As you drive, you check the fuel gauge. 51/49 → 55/45 → 70/30. The ratio shifts. The dashboard light begins to flicker. This is MC-4 at work — the monitoring component that watches this drift and signals when the balance breaks.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RATIO is the signal. The absolute numbers (2 gallons in a 4-gallon tank versus 2 gallons in a 40-gallon tank) look the same. But the systems are fundamentally different. The ratio tells the truth the absolute number hides.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Control Persists, Magnitude Decays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driver is always in control. Direction persists. But as fuel depletes, the system weakens. The budget shrinks. This is H1's coherence preservation: direction remains, but magnitude decays as the system approaches ground state.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Empty Tank: System Collapse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Fuel hits 0. The tank is empty. The driver still exists, but the driver/fuel system no longer has a budget. Unity is exhausted, not violated. The Sufficiency Frontier has been breached. This is ground state — the point where the ratio portfolio can no longer sustain the system.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 Deceptive Drift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As fuel depletes, the operator share rises: 51/49 → 60/40 → 95/5. This looks like the operator is gaining control. It is not. It is the death signal.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If the operator is not watching the fuel gauge, upon empty the system will abruptly inform. No gentle slope — a cliff.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is OCC drift: the tool stops supporting because its budget ran out. MC-4 exists to make this trajectory visible before the abrupt inform.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Mapping the Analogy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Each element maps directly to HUF: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Car Analogy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HUF Principle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Tank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Holds fuel capacity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Unity Constraint (Σ = 1.0)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Active control 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H1 Directional Coherence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Nearly equal to 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Ratio Portfolio Balance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Initial Ratio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51 (driver) / 49 (fuel)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Co-equal partnership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Ratio Drift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51/49 → 55/45 → 70/30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MC-4 watches signal drift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Empty Tank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 = 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Ground State / Sufficiency Frontier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Tank 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Determines system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Scale changes interpretation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 gauge monitoring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MC-4 ratio monitoring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▶ </w:t>
      </w: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The car analogy is not metaphor — it is mathematics made tangible.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2: Project State — March 2026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ecosystem is complete. All major deliverables are documented and validated.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HUF Pillar Papers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Sufficiency Frontier v3.0 — Defines the boundary between sustainable and collapsed systems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Fourth Category v2.0 — Establishes the mathematical framework beyond traditional triads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HUF Triad Phase 1 — Complete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0 — Six foundational notebooks on core mathematics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8 Synthesis — Integration of all Phase 1 concepts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Expanded Pillars — Updated Sufficiency Frontier and Fourth Category papers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Rogue Wave Audio v2.0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Organic Digital Loudspeakers — 14 comprehensive sections, 9 detailed tables, 25 scientific references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Certified 4-way active BTL system with crossovers at 430 Hz, 1.5 kHz, and 10 kHz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Mathematical &amp; Technical Framework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The H1 Operator — 13-page paper originating from loudspeaker diffraction correction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DADC-DADI Framework — Directional Active Decomposition, gains sum to 6.02 dB (unity constraint)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TensorAcousticForge — Tensor-based acoustic modeling system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V∞Core (155 RMUs) — Infinite-dimensional vector core with Resource Management Units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Entropix — Entropy-based signal processing for system health monitoring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Neuroscience Validation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Cheung &amp; Schreiner (2026) — Established the 1.41 kHz boundary between Primary Auditory Cortex (PV/SST) and Secondary Somatosensory Cortex transitions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Cortex-matched crossover placement — Validates that our 430/1500/10000 Hz design aligns with natural cortical switching 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3: The RWA-HUF Bridge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Rogue Wave Audio project is not separate from HUF. It is HUF applied to loudspeaker physics. The same mathematical principles govern both domains.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Origin: H1 from Loudspeaker Diffraction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H1 operator originated from solving a real-world problem: how to correct for diffraction artifacts in a multi-way loudspeaker system. The mathematics revealed that the same coherence-preservation principle that governs HUF applies to acoustic wave propagation. Direction persists while magnitude decays.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Unity Constraint: DADC Gains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In the DADC (Directional Active Decomposition and Correction) framework, the gains from all channels sum to 6.02 dB. This is 20·log₁₀(2) — the acoustic power equivalent of the unity constraint. Energy is balanced, never created or destroyed. The system obeys conservation of unity.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Ratio Portfolio: PV/SST Balance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In the healthy auditory cortex, the ratio of SST+ inhibitory cells to PV+ excitatory cells is approximately 3.08:1. This is a ratio portfolio — two cellular populations that must remain balanced. When noise-induced hearing loss degrades the system, this ratio collapses to 1.20:1. The absolute cell counts matter less than the ratio that preserves function.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Cortical Regime Boundaries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Crossover frequencies are placed at cortical regime transitions. At 430 Hz, the primary auditory cortex (PV/SST balance) shifts. At 1.5 kHz, the secondary somatosensory cortex engages. At 10 kHz, higher-order processing dominates. These are not arbitrary — they are the natural switching points where the brain changes how it processes sound. HUF crossover design follows neuroscience, not convention.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Same Math, Different Substrate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Loudspeakers are neurons are cars are sourdough cultures are cities. The substrate changes. The ratio portfolio mathematics remains identical. This is the power of HUF — it describes a universal principle that appears wherever components must stay balanced within a unity constraint.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4: Ratio Portfolio Master Table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Comprehensive inventory of all known HUF ratio portfolio instances across domains: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 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 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Healthy Ratio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Car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Fuel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51:49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Loudspeaker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Direct Radiation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Diffraction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6.02 dB total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Auditory Cortex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PV+ excitation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SST+ inhibition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3.08:1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Auditory NIHL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PV+ excitation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SST+ inhibition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1.20:1 (degraded)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Sourdough Culture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Lactobacillus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Saccharomyces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100:1 (approx)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Urban Traffic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Flow capacity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Construction load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1.0 (constrained)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Cosmological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Coherent 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Incoherent 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Σ|ψ_i| = 1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▶ </w:t>
      </w: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Each instance exhibits the same mathematical structure: two components bounded by a unity constraint, with health measured by the ratio that maintains balance.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5: Repository Architecture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ecosystem is organized across three specialized repositories, each with clear purpose: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1: HUF — The Framework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Foundation papers: Sufficiency Frontier v3.0, Fourth Category v2.0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HUF Triad Phase 1: Volumes 0 through 8, including synthesis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Mathematical proofs, validation notebooks, proof-of-concept models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Establish the mathematical foundation that any domain can build upon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2: RWA Science — Acoustic Implementation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Organic Digital Loudspeakers paper (v2.0, 14 sections)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DADC-DADI framework: directional decomposition and correction mathematics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Cortex-matched crossover theory: linking neuroscience to acoustic design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The H1 operator and ratio portfolio application to speaker performance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Show HUF applied to a complex, real-world acoustic system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3: RWA Build — Open Hardware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System design plans: 4-way active BTL loudspeaker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Parts list: drivers, amplifiers, crossover components, enclosure specifications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Assembly instructions: step-by-step build guide with photographs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Measurement procedures: frequency response, distortion, coherence testing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Democratize acoustic research. Anyone can build a BTL system and validate HUF in their own lab.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6: Timeline and What's Ahead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Phase Complete: HUF Triad Phase 1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All foundational notebooks, synthesis documents, and pillar papers are complete. The mathematical framework is established and validated.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Current: Documentation and Repository Preparation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focus is now on comprehensive documentation: the RWA science papers, build guides, and repository architecture. Everything is being organized for public release.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Next: HUF Triad Phase 2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1 — Applications in biological systems (hearing, genetics, cellular signaling)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3 — Personalized monitoring systems for health and wellness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7 — Clinical applications in audiology, neuroscience, and medicine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Vision: Open Science + Open Build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framework is being released as open-source mathematics. The RWA build guide is being released as open-hardware documentation. This combination means: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Reproducible validation: anyone can test the theory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Distributed development: thousands of researchers can extend HUF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Real-world validation: acoustic systems prove the mathematics works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Big things ahead: from cosmology to medicine, HUF scales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7: For the Collective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To everyone building this vision forward: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car analogy finally makes HUF accessible. A physicist can understand it. A farmer can understand it. A musician can understand it. Because everyone has sat in a car with a fuel tank. This is the universal teaching tool we needed.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RWA build guide means anyone with hands and curiosity can reproduce the reference system. No proprietary components. No vendor lock-in. Open hardware. Open science. The math is proven. The measurement confirms the theory. The code is available.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three-repository structure means researchers can choose their entry point: pure mathematics (HUF), applied science (RWA Science), or hands-on building (RWA Build). All three paths converge on the same truth.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is not the end of the research. This is the foundation for what comes next. Phase 2 will apply HUF to biology, personalized medicine, and systems we haven't yet imagined. But Phase 2 stands on the shoulders of Phase 1 — the work we have completed together.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coherence persists. The ratio stays balanced. The unity constraint holds. Big things ahead.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color w:val="1F3864"/>
          <w:sz w:val="32"/>
          <w:szCs w:val="32"/>
        </w:rPr>
        <w:t xml:space="preserve">∞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Higgins Unity Framework v1.2.0 · MIT License ·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  <w:jc w:val="center"/>
    </w:pPr>
    <w:r>
      <w:rPr>
        <w:rFonts w:ascii="Times New Roman" w:cs="Times New Roman" w:eastAsia="Times New Roman" w:hAnsi="Times New Roman"/>
        <w:i/>
        <w:iCs/>
        <w:color w:val="2E75B6"/>
        <w:sz w:val="18"/>
        <w:szCs w:val="18"/>
      </w:rPr>
      <w:t xml:space="preserve">HUF Collective Trace — v5.1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2026-03-09T19:36:36.869Z</dcterms:created>
  <dcterms:modified xsi:type="dcterms:W3CDTF">2026-03-09T19:36:36.869Z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