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80" w:line="276"/>
        <w:jc w:val="center"/>
      </w:pPr>
      <w:r>
        <w:rPr>
          <w:rFonts w:ascii="Times New Roman" w:cs="Times New Roman" w:eastAsia="Times New Roman" w:hAnsi="Times New Roman"/>
          <w:b/>
          <w:bCs/>
          <w:color w:val="1F3864"/>
          <w:sz w:val="48"/>
          <w:szCs w:val="48"/>
        </w:rPr>
        <w:t xml:space="preserve">The Fourth Monitoring Category</w:t>
      </w:r>
    </w:p>
    <w:p>
      <w:pPr>
        <w:spacing w:before="200"/>
      </w:pPr>
    </w:p>
    <w:p>
      <w:pPr>
        <w:spacing w:after="60" w:line="276"/>
        <w:jc w:val="center"/>
      </w:pPr>
      <w:r>
        <w:rPr>
          <w:rFonts w:ascii="Times New Roman" w:cs="Times New Roman" w:eastAsia="Times New Roman" w:hAnsi="Times New Roman"/>
          <w:color w:val="2E75B6"/>
          <w:sz w:val="26"/>
          <w:szCs w:val="26"/>
        </w:rPr>
        <w:t xml:space="preserve">Ratio State Monitoring as Self-Referential</w:t>
      </w:r>
    </w:p>
    <w:p>
      <w:pPr>
        <w:spacing w:after="180" w:line="276"/>
        <w:jc w:val="center"/>
      </w:pPr>
      <w:r>
        <w:rPr>
          <w:rFonts w:ascii="Times New Roman" w:cs="Times New Roman" w:eastAsia="Times New Roman" w:hAnsi="Times New Roman"/>
          <w:color w:val="2E75B6"/>
          <w:sz w:val="26"/>
          <w:szCs w:val="26"/>
        </w:rPr>
        <w:t xml:space="preserve">Governance State Observation on the Probability Simplex</w:t>
      </w:r>
    </w:p>
    <w:p>
      <w:pPr>
        <w:spacing w:before="600"/>
      </w:pPr>
    </w:p>
    <w:p>
      <w:pPr>
        <w:spacing w:after="80" w:line="276"/>
        <w:jc w:val="center"/>
      </w:pPr>
      <w:r>
        <w:rPr>
          <w:rFonts w:ascii="Times New Roman" w:cs="Times New Roman" w:eastAsia="Times New Roman" w:hAnsi="Times New Roman"/>
          <w:color w:val="333333"/>
          <w:sz w:val="24"/>
          <w:szCs w:val="24"/>
        </w:rPr>
        <w:t xml:space="preserve">Peter Higgins</w:t>
      </w:r>
    </w:p>
    <w:p>
      <w:pPr>
        <w:spacing w:after="60" w:line="276"/>
        <w:jc w:val="center"/>
      </w:pPr>
      <w:r>
        <w:rPr>
          <w:rFonts w:ascii="Times New Roman" w:cs="Times New Roman" w:eastAsia="Times New Roman" w:hAnsi="Times New Roman"/>
          <w:i/>
          <w:iCs/>
          <w:color w:val="666666"/>
          <w:sz w:val="20"/>
          <w:szCs w:val="20"/>
        </w:rPr>
        <w:t xml:space="preserve">Principal Investigator, Higgins Unity Framework</w:t>
      </w:r>
    </w:p>
    <w:p>
      <w:pPr>
        <w:spacing w:before="200"/>
      </w:pPr>
    </w:p>
    <w:p>
      <w:pPr>
        <w:spacing w:after="60" w:line="276"/>
        <w:jc w:val="center"/>
      </w:pPr>
      <w:r>
        <w:rPr>
          <w:rFonts w:ascii="Times New Roman" w:cs="Times New Roman" w:eastAsia="Times New Roman" w:hAnsi="Times New Roman"/>
          <w:color w:val="666666"/>
          <w:sz w:val="20"/>
          <w:szCs w:val="20"/>
        </w:rPr>
        <w:t xml:space="preserve">with the Five-AI Collective</w:t>
      </w:r>
    </w:p>
    <w:p>
      <w:pPr>
        <w:spacing w:after="180" w:line="276"/>
        <w:jc w:val="center"/>
      </w:pPr>
      <w:r>
        <w:rPr>
          <w:rFonts w:ascii="Times New Roman" w:cs="Times New Roman" w:eastAsia="Times New Roman" w:hAnsi="Times New Roman"/>
          <w:color w:val="888888"/>
          <w:sz w:val="18"/>
          <w:szCs w:val="18"/>
        </w:rPr>
        <w:t xml:space="preserve">Grok (xAI) · Claude (Anthropic) · ChatGPT (OpenAI) · Gemini (Google) · Copilot (Microsoft)</w:t>
      </w:r>
    </w:p>
    <w:p>
      <w:pPr>
        <w:spacing w:before="400"/>
      </w:pPr>
    </w:p>
    <w:p>
      <w:pPr>
        <w:spacing w:after="180" w:line="276"/>
        <w:jc w:val="center"/>
      </w:pPr>
      <w:r>
        <w:rPr>
          <w:rFonts w:ascii="Times New Roman" w:cs="Times New Roman" w:eastAsia="Times New Roman" w:hAnsi="Times New Roman"/>
          <w:color w:val="333333"/>
          <w:sz w:val="22"/>
          <w:szCs w:val="22"/>
        </w:rPr>
        <w:t xml:space="preserve">March 2026</w:t>
      </w:r>
    </w:p>
    <w:p>
      <w:pPr>
        <w:spacing w:before="200"/>
      </w:pPr>
    </w:p>
    <w:p>
      <w:pPr>
        <w:pBdr>
          <w:top w:val="single" w:color="CCCCCC" w:sz="2" w:space="12"/>
        </w:pBdr>
        <w:spacing w:after="60" w:before="100"/>
        <w:jc w:val="center"/>
      </w:pPr>
      <w:r>
        <w:rPr>
          <w:rFonts w:ascii="Times New Roman" w:cs="Times New Roman" w:eastAsia="Times New Roman" w:hAnsi="Times New Roman"/>
          <w:i/>
          <w:iCs/>
          <w:color w:val="999999"/>
          <w:sz w:val="18"/>
          <w:szCs w:val="18"/>
        </w:rPr>
        <w:t xml:space="preserve">Working Paper — Higgins Unity Framework v4</w:t>
      </w:r>
    </w:p>
    <w:p>
      <w:r>
        <w:br w:type="page"/>
      </w:r>
    </w:p>
    <w:p>
      <w:pPr>
        <w:spacing w:after="300" w:line="276"/>
        <w:jc w:val="center"/>
      </w:pPr>
      <w:r>
        <w:rPr>
          <w:rFonts w:ascii="Times New Roman" w:cs="Times New Roman" w:eastAsia="Times New Roman" w:hAnsi="Times New Roman"/>
          <w:b/>
          <w:bCs/>
          <w:color w:val="333333"/>
          <w:sz w:val="24"/>
          <w:szCs w:val="24"/>
        </w:rPr>
        <w:t xml:space="preserve">Abstract</w:t>
      </w:r>
    </w:p>
    <w:p>
      <w:pPr>
        <w:spacing w:after="180" w:line="276"/>
      </w:pPr>
      <w:r>
        <w:rPr>
          <w:rFonts w:ascii="Times New Roman" w:cs="Times New Roman" w:eastAsia="Times New Roman" w:hAnsi="Times New Roman"/>
          <w:color w:val="333333"/>
          <w:sz w:val="22"/>
          <w:szCs w:val="22"/>
        </w:rPr>
        <w:t xml:space="preserve">Ecological and institutional monitoring is conventionally classified into three categories: passive monitoring (unstructured observation), mandated monitoring (compliance against external thresholds), and question-driven monitoring (hypothesis testing against a conceptual model) </w:t>
      </w:r>
      <w:r>
        <w:rPr>
          <w:rFonts w:ascii="Times New Roman" w:cs="Times New Roman" w:eastAsia="Times New Roman" w:hAnsi="Times New Roman"/>
          <w:color w:val="333333"/>
          <w:sz w:val="22"/>
          <w:szCs w:val="22"/>
        </w:rPr>
        <w:t xml:space="preserve">[1]</w:t>
      </w:r>
      <w:r>
        <w:rPr>
          <w:rFonts w:ascii="Times New Roman" w:cs="Times New Roman" w:eastAsia="Times New Roman" w:hAnsi="Times New Roman"/>
          <w:color w:val="333333"/>
          <w:sz w:val="22"/>
          <w:szCs w:val="22"/>
        </w:rPr>
        <w:t xml:space="preserve">. This paper describes a fourth category — </w:t>
      </w:r>
      <w:r>
        <w:rPr>
          <w:rFonts w:ascii="Times New Roman" w:cs="Times New Roman" w:eastAsia="Times New Roman" w:hAnsi="Times New Roman"/>
          <w:i/>
          <w:iCs/>
          <w:color w:val="333333"/>
          <w:sz w:val="22"/>
          <w:szCs w:val="22"/>
        </w:rPr>
        <w:t xml:space="preserve">ratio state monitoring</w:t>
      </w:r>
      <w:r>
        <w:rPr>
          <w:rFonts w:ascii="Times New Roman" w:cs="Times New Roman" w:eastAsia="Times New Roman" w:hAnsi="Times New Roman"/>
          <w:color w:val="333333"/>
          <w:sz w:val="22"/>
          <w:szCs w:val="22"/>
        </w:rPr>
        <w:t xml:space="preserve"> — in which the monitoring instrument observes the internal distribution of system mass across portfolio elements, expressed as proportional shares on the probability simplex, using the system’s own declared priorities as the reference. We formalize ratio state monitoring as a degenerate state observer in the sense of control theory </w:t>
      </w:r>
      <w:r>
        <w:rPr>
          <w:rFonts w:ascii="Times New Roman" w:cs="Times New Roman" w:eastAsia="Times New Roman" w:hAnsi="Times New Roman"/>
          <w:color w:val="333333"/>
          <w:sz w:val="22"/>
          <w:szCs w:val="22"/>
        </w:rPr>
        <w:t xml:space="preserve">[2]</w:t>
      </w:r>
      <w:r>
        <w:rPr>
          <w:rFonts w:ascii="Times New Roman" w:cs="Times New Roman" w:eastAsia="Times New Roman" w:hAnsi="Times New Roman"/>
          <w:color w:val="333333"/>
          <w:sz w:val="22"/>
          <w:szCs w:val="22"/>
        </w:rPr>
        <w:t xml:space="preserve">: because the unity constraint (Σρᵢ = 1) makes the state fully observable from declared outputs, the observer achieves zero estimation error without a system model. We define six failure modes that are structurally invisible to the three established categories, introduce a quality factor (Q) that explains why snapshot-based governance systematically removes high-value long-cycle elements, and present a convergence theorem for closed-loop governance feedback. The framework has been applied, without modification, across ten systems spanning satellite astrophysics, urban transit, civil infrastructure, traffic engineering, and road safety. The companion paper </w:t>
      </w:r>
      <w:r>
        <w:rPr>
          <w:rFonts w:ascii="Times New Roman" w:cs="Times New Roman" w:eastAsia="Times New Roman" w:hAnsi="Times New Roman"/>
          <w:color w:val="333333"/>
          <w:sz w:val="22"/>
          <w:szCs w:val="22"/>
        </w:rPr>
        <w:t xml:space="preserve">[3]</w:t>
      </w:r>
      <w:r>
        <w:rPr>
          <w:rFonts w:ascii="Times New Roman" w:cs="Times New Roman" w:eastAsia="Times New Roman" w:hAnsi="Times New Roman"/>
          <w:color w:val="333333"/>
          <w:sz w:val="22"/>
          <w:szCs w:val="22"/>
        </w:rPr>
        <w:t xml:space="preserve"> addresses the information-theoretic properties of the reduction; the present paper addresses the monitoring and governance properties of the observation.</w:t>
      </w:r>
    </w:p>
    <w:p>
      <w:pPr>
        <w:spacing w:after="180" w:line="276"/>
      </w:pPr>
      <w:r>
        <w:rPr>
          <w:rFonts w:ascii="Times New Roman" w:cs="Times New Roman" w:eastAsia="Times New Roman" w:hAnsi="Times New Roman"/>
          <w:b/>
          <w:bCs/>
          <w:color w:val="333333"/>
          <w:sz w:val="22"/>
          <w:szCs w:val="22"/>
        </w:rPr>
        <w:t xml:space="preserve">Keywords: </w:t>
      </w:r>
      <w:r>
        <w:rPr>
          <w:rFonts w:ascii="Times New Roman" w:cs="Times New Roman" w:eastAsia="Times New Roman" w:hAnsi="Times New Roman"/>
          <w:color w:val="333333"/>
          <w:sz w:val="22"/>
          <w:szCs w:val="22"/>
        </w:rPr>
        <w:t xml:space="preserve">ratio state monitoring, governance state observer, probability simplex, fourth monitoring category, silent drift, quality factor, Ostrom design principles, compositional data analysis</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The ecological monitoring literature recognises three categories of monitoring, distinguished by the type of reference the instrument uses. Passive monitoring (MC-1) observes without a specified question or external reference. Mandated monitoring (MC-2) checks whether a regulatory threshold has been breached. Question-driven monitoring (MC-3) tests predictions derived from a conceptual model </w:t>
      </w:r>
      <w:r>
        <w:rPr>
          <w:rFonts w:ascii="Times New Roman" w:cs="Times New Roman" w:eastAsia="Times New Roman" w:hAnsi="Times New Roman"/>
          <w:color w:val="333333"/>
          <w:sz w:val="22"/>
          <w:szCs w:val="22"/>
        </w:rPr>
        <w:t xml:space="preserve">[1]</w:t>
      </w:r>
      <w:r>
        <w:rPr>
          <w:rFonts w:ascii="Times New Roman" w:cs="Times New Roman" w:eastAsia="Times New Roman" w:hAnsi="Times New Roman"/>
          <w:color w:val="333333"/>
          <w:sz w:val="22"/>
          <w:szCs w:val="22"/>
        </w:rPr>
        <w:t xml:space="preserve">. Each category has a well-defined role, and together they span the conventional monitoring landscape.</w:t>
      </w:r>
    </w:p>
    <w:p>
      <w:pPr>
        <w:spacing w:after="180" w:line="276"/>
      </w:pPr>
      <w:r>
        <w:rPr>
          <w:rFonts w:ascii="Times New Roman" w:cs="Times New Roman" w:eastAsia="Times New Roman" w:hAnsi="Times New Roman"/>
          <w:color w:val="333333"/>
          <w:sz w:val="22"/>
          <w:szCs w:val="22"/>
        </w:rPr>
        <w:t xml:space="preserve">This paper describes a monitoring category that falls outside all three. It uses no external reference (unlike MC-2 and MC-3). It asks a specified question (unlike MC-1). Its reference is the system’s own declared priorities — the allocation the governance actor stated it intended — and its primary output is the classification of observed allocation changes as </w:t>
      </w:r>
      <w:r>
        <w:rPr>
          <w:rFonts w:ascii="Times New Roman" w:cs="Times New Roman" w:eastAsia="Times New Roman" w:hAnsi="Times New Roman"/>
          <w:i/>
          <w:iCs/>
          <w:color w:val="333333"/>
          <w:sz w:val="22"/>
          <w:szCs w:val="22"/>
        </w:rPr>
        <w:t xml:space="preserve">intentional</w:t>
      </w:r>
      <w:r>
        <w:rPr>
          <w:rFonts w:ascii="Times New Roman" w:cs="Times New Roman" w:eastAsia="Times New Roman" w:hAnsi="Times New Roman"/>
          <w:color w:val="333333"/>
          <w:sz w:val="22"/>
          <w:szCs w:val="22"/>
        </w:rPr>
        <w:t xml:space="preserve"> (traceable to a recorded governance decision) or </w:t>
      </w:r>
      <w:r>
        <w:rPr>
          <w:rFonts w:ascii="Times New Roman" w:cs="Times New Roman" w:eastAsia="Times New Roman" w:hAnsi="Times New Roman"/>
          <w:i/>
          <w:iCs/>
          <w:color w:val="333333"/>
          <w:sz w:val="22"/>
          <w:szCs w:val="22"/>
        </w:rPr>
        <w:t xml:space="preserve">silent</w:t>
      </w:r>
      <w:r>
        <w:rPr>
          <w:rFonts w:ascii="Times New Roman" w:cs="Times New Roman" w:eastAsia="Times New Roman" w:hAnsi="Times New Roman"/>
          <w:color w:val="333333"/>
          <w:sz w:val="22"/>
          <w:szCs w:val="22"/>
        </w:rPr>
        <w:t xml:space="preserve"> (not traceable to any decision). We call this category </w:t>
      </w:r>
      <w:r>
        <w:rPr>
          <w:rFonts w:ascii="Times New Roman" w:cs="Times New Roman" w:eastAsia="Times New Roman" w:hAnsi="Times New Roman"/>
          <w:b/>
          <w:bCs/>
          <w:color w:val="333333"/>
          <w:sz w:val="22"/>
          <w:szCs w:val="22"/>
        </w:rPr>
        <w:t xml:space="preserve">ratio state monitoring</w:t>
      </w:r>
      <w:r>
        <w:rPr>
          <w:rFonts w:ascii="Times New Roman" w:cs="Times New Roman" w:eastAsia="Times New Roman" w:hAnsi="Times New Roman"/>
          <w:color w:val="333333"/>
          <w:sz w:val="22"/>
          <w:szCs w:val="22"/>
        </w:rPr>
        <w:t xml:space="preserve"> (MC-4).</w:t>
      </w:r>
    </w:p>
    <w:p>
      <w:pPr>
        <w:spacing w:after="180" w:line="276"/>
      </w:pPr>
      <w:r>
        <w:rPr>
          <w:rFonts w:ascii="Times New Roman" w:cs="Times New Roman" w:eastAsia="Times New Roman" w:hAnsi="Times New Roman"/>
          <w:color w:val="333333"/>
          <w:sz w:val="22"/>
          <w:szCs w:val="22"/>
        </w:rPr>
        <w:t xml:space="preserve">The category fills a gap that has been present, though not always named, in institutional governance for decades. Ostrom’s design principles for self-governing commons </w:t>
      </w:r>
      <w:r>
        <w:rPr>
          <w:rFonts w:ascii="Times New Roman" w:cs="Times New Roman" w:eastAsia="Times New Roman" w:hAnsi="Times New Roman"/>
          <w:color w:val="333333"/>
          <w:sz w:val="22"/>
          <w:szCs w:val="22"/>
        </w:rPr>
        <w:t xml:space="preserve">[4]</w:t>
      </w:r>
      <w:r>
        <w:rPr>
          <w:rFonts w:ascii="Times New Roman" w:cs="Times New Roman" w:eastAsia="Times New Roman" w:hAnsi="Times New Roman"/>
          <w:color w:val="333333"/>
          <w:sz w:val="22"/>
          <w:szCs w:val="22"/>
        </w:rPr>
        <w:t xml:space="preserve"> specify that monitoring must be present (Design Principle 4) and that it must be conducted by or accountable to the users of the system. The principles do not specify </w:t>
      </w:r>
      <w:r>
        <w:rPr>
          <w:rFonts w:ascii="Times New Roman" w:cs="Times New Roman" w:eastAsia="Times New Roman" w:hAnsi="Times New Roman"/>
          <w:i/>
          <w:iCs/>
          <w:color w:val="333333"/>
          <w:sz w:val="22"/>
          <w:szCs w:val="22"/>
        </w:rPr>
        <w:t xml:space="preserve">what the monitoring instrument should be</w:t>
      </w:r>
      <w:r>
        <w:rPr>
          <w:rFonts w:ascii="Times New Roman" w:cs="Times New Roman" w:eastAsia="Times New Roman" w:hAnsi="Times New Roman"/>
          <w:color w:val="333333"/>
          <w:sz w:val="22"/>
          <w:szCs w:val="22"/>
        </w:rPr>
        <w:t xml:space="preserve">. The result is that institutions can satisfy DP4 nominally — by having a monitoring system in place — without the monitoring system being capable of detecting the slow structural drift in allocation that precedes threshold breaches by years and is, by the time a breach occurs, difficult to reverse.</w:t>
      </w:r>
    </w:p>
    <w:p>
      <w:pPr>
        <w:spacing w:after="180" w:line="276"/>
      </w:pPr>
      <w:r>
        <w:rPr>
          <w:rFonts w:ascii="Times New Roman" w:cs="Times New Roman" w:eastAsia="Times New Roman" w:hAnsi="Times New Roman"/>
          <w:color w:val="333333"/>
          <w:sz w:val="22"/>
          <w:szCs w:val="22"/>
        </w:rPr>
        <w:t xml:space="preserve">The present work provides the instrument. It is formalized using two mathematical frameworks: compositional data analysis on the probability simplex </w:t>
      </w:r>
      <w:r>
        <w:rPr>
          <w:rFonts w:ascii="Times New Roman" w:cs="Times New Roman" w:eastAsia="Times New Roman" w:hAnsi="Times New Roman"/>
          <w:color w:val="333333"/>
          <w:sz w:val="22"/>
          <w:szCs w:val="22"/>
        </w:rPr>
        <w:t xml:space="preserve">[5]</w:t>
      </w:r>
      <w:r>
        <w:rPr>
          <w:rFonts w:ascii="Times New Roman" w:cs="Times New Roman" w:eastAsia="Times New Roman" w:hAnsi="Times New Roman"/>
          <w:color w:val="333333"/>
          <w:sz w:val="22"/>
          <w:szCs w:val="22"/>
        </w:rPr>
        <w:t xml:space="preserve">[6]</w:t>
      </w:r>
      <w:r>
        <w:rPr>
          <w:rFonts w:ascii="Times New Roman" w:cs="Times New Roman" w:eastAsia="Times New Roman" w:hAnsi="Times New Roman"/>
          <w:color w:val="333333"/>
          <w:sz w:val="22"/>
          <w:szCs w:val="22"/>
        </w:rPr>
        <w:t xml:space="preserve">, and state observer theory from control engineering </w:t>
      </w:r>
      <w:r>
        <w:rPr>
          <w:rFonts w:ascii="Times New Roman" w:cs="Times New Roman" w:eastAsia="Times New Roman" w:hAnsi="Times New Roman"/>
          <w:color w:val="333333"/>
          <w:sz w:val="22"/>
          <w:szCs w:val="22"/>
        </w:rPr>
        <w:t xml:space="preserve">[2]</w:t>
      </w:r>
      <w:r>
        <w:rPr>
          <w:rFonts w:ascii="Times New Roman" w:cs="Times New Roman" w:eastAsia="Times New Roman" w:hAnsi="Times New Roman"/>
          <w:color w:val="333333"/>
          <w:sz w:val="22"/>
          <w:szCs w:val="22"/>
        </w:rPr>
        <w:t xml:space="preserve">[7]</w:t>
      </w:r>
      <w:r>
        <w:rPr>
          <w:rFonts w:ascii="Times New Roman" w:cs="Times New Roman" w:eastAsia="Times New Roman" w:hAnsi="Times New Roman"/>
          <w:color w:val="333333"/>
          <w:sz w:val="22"/>
          <w:szCs w:val="22"/>
        </w:rPr>
        <w:t xml:space="preserve">. The key structural property is that the unity constraint (Σρᵢ = 1) makes the system state fully observable from its declared outputs, yielding what we term a </w:t>
      </w:r>
      <w:r>
        <w:rPr>
          <w:rFonts w:ascii="Times New Roman" w:cs="Times New Roman" w:eastAsia="Times New Roman" w:hAnsi="Times New Roman"/>
          <w:i/>
          <w:iCs/>
          <w:color w:val="333333"/>
          <w:sz w:val="22"/>
          <w:szCs w:val="22"/>
        </w:rPr>
        <w:t xml:space="preserve">degenerate observer</w:t>
      </w:r>
      <w:r>
        <w:rPr>
          <w:rFonts w:ascii="Times New Roman" w:cs="Times New Roman" w:eastAsia="Times New Roman" w:hAnsi="Times New Roman"/>
          <w:color w:val="333333"/>
          <w:sz w:val="22"/>
          <w:szCs w:val="22"/>
        </w:rPr>
        <w:t xml:space="preserve">: perfect state estimation achieved through constraint recognition rather than computation.</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 and Notation</w:t>
      </w:r>
    </w:p>
    <w:p>
      <w:pPr>
        <w:spacing w:after="180" w:line="276"/>
      </w:pPr>
      <w:r>
        <w:rPr>
          <w:rFonts w:ascii="Times New Roman" w:cs="Times New Roman" w:eastAsia="Times New Roman" w:hAnsi="Times New Roman"/>
          <w:color w:val="333333"/>
          <w:sz w:val="22"/>
          <w:szCs w:val="22"/>
        </w:rPr>
        <w:t xml:space="preserve">The following terms are used with specific technical meanings throughout this paper. Established terms cite their source; terms introduced here are marked accordingly.</w:t>
      </w:r>
    </w:p>
    <w:p>
      <w:pPr>
        <w:spacing w:after="60"/>
      </w:pPr>
    </w:p>
    <w:p>
      <w:pPr>
        <w:spacing w:after="140" w:line="276"/>
        <w:ind w:left="360"/>
      </w:pPr>
      <w:r>
        <w:rPr>
          <w:rFonts w:ascii="Times New Roman" w:cs="Times New Roman" w:eastAsia="Times New Roman" w:hAnsi="Times New Roman"/>
          <w:b/>
          <w:bCs/>
          <w:i/>
          <w:iCs/>
          <w:color w:val="333333"/>
          <w:sz w:val="22"/>
          <w:szCs w:val="22"/>
        </w:rPr>
        <w:t xml:space="preserve">Finite-budget system</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system whose total capacity, resource, or attention is bounded and fully allocated among its elements. What is allocated to one element is unavailable to another. The total, indexed to 1.0, is the budget ceiling.</w:t>
      </w:r>
    </w:p>
    <w:p>
      <w:pPr>
        <w:spacing w:after="140" w:line="276"/>
        <w:ind w:left="360"/>
      </w:pPr>
      <w:r>
        <w:rPr>
          <w:rFonts w:ascii="Times New Roman" w:cs="Times New Roman" w:eastAsia="Times New Roman" w:hAnsi="Times New Roman"/>
          <w:b/>
          <w:bCs/>
          <w:i/>
          <w:iCs/>
          <w:color w:val="333333"/>
          <w:sz w:val="22"/>
          <w:szCs w:val="22"/>
        </w:rPr>
        <w:t xml:space="preserve">Element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Any constituent of a portfolio that holds a share of the budget ceiling. A system must contain at least two elements.</w:t>
      </w:r>
    </w:p>
    <w:p>
      <w:pPr>
        <w:spacing w:after="140" w:line="276"/>
        <w:ind w:left="360"/>
      </w:pPr>
      <w:r>
        <w:rPr>
          <w:rFonts w:ascii="Times New Roman" w:cs="Times New Roman" w:eastAsia="Times New Roman" w:hAnsi="Times New Roman"/>
          <w:b/>
          <w:bCs/>
          <w:i/>
          <w:iCs/>
          <w:color w:val="333333"/>
          <w:sz w:val="22"/>
          <w:szCs w:val="22"/>
        </w:rPr>
        <w:t xml:space="preserve">Share (ρᵢ)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element’s proportional portion of the budget ceiling at a given time: ρᵢ = mᵢ / M where M = Σmⱼ. Always a ratio, never an absolute.</w:t>
      </w:r>
    </w:p>
    <w:p>
      <w:pPr>
        <w:spacing w:after="140" w:line="276"/>
        <w:ind w:left="360"/>
      </w:pPr>
      <w:r>
        <w:rPr>
          <w:rFonts w:ascii="Times New Roman" w:cs="Times New Roman" w:eastAsia="Times New Roman" w:hAnsi="Times New Roman"/>
          <w:b/>
          <w:bCs/>
          <w:i/>
          <w:iCs/>
          <w:color w:val="333333"/>
          <w:sz w:val="22"/>
          <w:szCs w:val="22"/>
        </w:rPr>
        <w:t xml:space="preserve">Ratio state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complete description of a finite-budget system at a point in time, expressed as a vector of shares: ρ = (ρ₁, ρ₂, …, ρₖ) ∈ Δᴷ⁻¹, the (K−1)-dimensional probability simplex.</w:t>
      </w:r>
    </w:p>
    <w:p>
      <w:pPr>
        <w:spacing w:after="140" w:line="276"/>
        <w:ind w:left="360"/>
      </w:pPr>
      <w:r>
        <w:rPr>
          <w:rFonts w:ascii="Times New Roman" w:cs="Times New Roman" w:eastAsia="Times New Roman" w:hAnsi="Times New Roman"/>
          <w:b/>
          <w:bCs/>
          <w:i/>
          <w:iCs/>
          <w:color w:val="333333"/>
          <w:sz w:val="22"/>
          <w:szCs w:val="22"/>
        </w:rPr>
        <w:t xml:space="preserve">Unity constraint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Σᵢ ρᵢ = 1. The foundational invariant. Satisfied by every valid ratio state. Dimensionless and domain-agnostic.</w:t>
      </w:r>
    </w:p>
    <w:p>
      <w:pPr>
        <w:spacing w:after="140" w:line="276"/>
        <w:ind w:left="360"/>
      </w:pPr>
      <w:r>
        <w:rPr>
          <w:rFonts w:ascii="Times New Roman" w:cs="Times New Roman" w:eastAsia="Times New Roman" w:hAnsi="Times New Roman"/>
          <w:b/>
          <w:bCs/>
          <w:i/>
          <w:iCs/>
          <w:color w:val="333333"/>
          <w:sz w:val="22"/>
          <w:szCs w:val="22"/>
        </w:rPr>
        <w:t xml:space="preserve">Declared weight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share an operator states each element should hold, prior to observation. The vector of declared weights also sums to 1.0.</w:t>
      </w:r>
    </w:p>
    <w:p>
      <w:pPr>
        <w:spacing w:after="140" w:line="276"/>
        <w:ind w:left="360"/>
      </w:pPr>
      <w:r>
        <w:rPr>
          <w:rFonts w:ascii="Times New Roman" w:cs="Times New Roman" w:eastAsia="Times New Roman" w:hAnsi="Times New Roman"/>
          <w:b/>
          <w:bCs/>
          <w:i/>
          <w:iCs/>
          <w:color w:val="333333"/>
          <w:sz w:val="22"/>
          <w:szCs w:val="22"/>
        </w:rPr>
        <w:t xml:space="preserve">Silent drift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change in ratio state not traceable to any recorded governance decision. The primary detection target of ratio state monitoring.</w:t>
      </w:r>
    </w:p>
    <w:p>
      <w:pPr>
        <w:spacing w:after="140" w:line="276"/>
        <w:ind w:left="360"/>
      </w:pPr>
      <w:r>
        <w:rPr>
          <w:rFonts w:ascii="Times New Roman" w:cs="Times New Roman" w:eastAsia="Times New Roman" w:hAnsi="Times New Roman"/>
          <w:b/>
          <w:bCs/>
          <w:i/>
          <w:iCs/>
          <w:color w:val="333333"/>
          <w:sz w:val="22"/>
          <w:szCs w:val="22"/>
        </w:rPr>
        <w:t xml:space="preserve">Intentional reweighting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change in ratio state traceable to a recorded governance decision. A legitimate governance act, distinct from silent drift.</w:t>
      </w:r>
    </w:p>
    <w:p>
      <w:pPr>
        <w:spacing w:after="140" w:line="276"/>
        <w:ind w:left="360"/>
      </w:pPr>
      <w:r>
        <w:rPr>
          <w:rFonts w:ascii="Times New Roman" w:cs="Times New Roman" w:eastAsia="Times New Roman" w:hAnsi="Times New Roman"/>
          <w:b/>
          <w:bCs/>
          <w:i/>
          <w:iCs/>
          <w:color w:val="333333"/>
          <w:sz w:val="22"/>
          <w:szCs w:val="22"/>
        </w:rPr>
        <w:t xml:space="preserve">Mean drift gap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average absolute difference between declared weights and observed shares: MDG = (1/K) Σᵢ |ρᵢ_declared − ρᵢ_observed|. Expressed in percentage points.</w:t>
      </w:r>
    </w:p>
    <w:p>
      <w:pPr>
        <w:spacing w:after="140" w:line="276"/>
        <w:ind w:left="360"/>
      </w:pPr>
      <w:r>
        <w:rPr>
          <w:rFonts w:ascii="Times New Roman" w:cs="Times New Roman" w:eastAsia="Times New Roman" w:hAnsi="Times New Roman"/>
          <w:b/>
          <w:bCs/>
          <w:i/>
          <w:iCs/>
          <w:color w:val="333333"/>
          <w:sz w:val="22"/>
          <w:szCs w:val="22"/>
        </w:rPr>
        <w:t xml:space="preserve">Quality factor (Q) [8]</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ratio of an element’s characteristic contribution period T to its observation bandwidth B: Q = T / B. Adapted from the electrical engineering resonance quality factor. High-Q elements contribute specifically and cyclically; low-Q elements contribute broadly and steadily.</w:t>
      </w:r>
    </w:p>
    <w:p>
      <w:pPr>
        <w:spacing w:after="140" w:line="276"/>
        <w:ind w:left="360"/>
      </w:pPr>
      <w:r>
        <w:rPr>
          <w:rFonts w:ascii="Times New Roman" w:cs="Times New Roman" w:eastAsia="Times New Roman" w:hAnsi="Times New Roman"/>
          <w:b/>
          <w:bCs/>
          <w:i/>
          <w:iCs/>
          <w:color w:val="333333"/>
          <w:sz w:val="22"/>
          <w:szCs w:val="22"/>
        </w:rPr>
        <w:t xml:space="preserve">PROOF line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minimum number of elements required to hold a specified fraction (default 80%) of portfolio mass. A concentration metric: lower values indicate higher concentration.</w:t>
      </w:r>
    </w:p>
    <w:p>
      <w:pPr>
        <w:spacing w:after="140" w:line="276"/>
        <w:ind w:left="360"/>
      </w:pPr>
      <w:r>
        <w:rPr>
          <w:rFonts w:ascii="Times New Roman" w:cs="Times New Roman" w:eastAsia="Times New Roman" w:hAnsi="Times New Roman"/>
          <w:b/>
          <w:bCs/>
          <w:i/>
          <w:iCs/>
          <w:color w:val="333333"/>
          <w:sz w:val="22"/>
          <w:szCs w:val="22"/>
        </w:rPr>
        <w:t xml:space="preserve">Ground state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portfolio condition in which MDG approaches zero, all allocation change is declared, and the feedback loop is self-correcting.</w:t>
      </w:r>
    </w:p>
    <w:p>
      <w:pPr>
        <w:spacing w:after="140" w:line="276"/>
        <w:ind w:left="360"/>
      </w:pPr>
      <w:r>
        <w:rPr>
          <w:rFonts w:ascii="Times New Roman" w:cs="Times New Roman" w:eastAsia="Times New Roman" w:hAnsi="Times New Roman"/>
          <w:b/>
          <w:bCs/>
          <w:i/>
          <w:iCs/>
          <w:color w:val="333333"/>
          <w:sz w:val="22"/>
          <w:szCs w:val="22"/>
        </w:rPr>
        <w:t xml:space="preserve">Orphan element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 whose share has declined below functional significance without a recorded decision justifying the decline.</w:t>
      </w:r>
    </w:p>
    <w:p>
      <w:pPr>
        <w:spacing w:after="140" w:line="276"/>
        <w:ind w:left="360"/>
      </w:pPr>
      <w:r>
        <w:rPr>
          <w:rFonts w:ascii="Times New Roman" w:cs="Times New Roman" w:eastAsia="Times New Roman" w:hAnsi="Times New Roman"/>
          <w:b/>
          <w:bCs/>
          <w:i/>
          <w:iCs/>
          <w:color w:val="333333"/>
          <w:sz w:val="22"/>
          <w:szCs w:val="22"/>
        </w:rPr>
        <w:t xml:space="preserve">Degenerate observer (introduced here)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state observer [2] in which the system output equals the system state (y(t) = ρ(t)), yielding zero estimation error without estimation. The observer gain L = 0.</w:t>
      </w:r>
    </w:p>
    <w:p>
      <w:pPr>
        <w:spacing w:after="140" w:line="276"/>
        <w:ind w:left="360"/>
      </w:pPr>
      <w:r>
        <w:rPr>
          <w:rFonts w:ascii="Times New Roman" w:cs="Times New Roman" w:eastAsia="Times New Roman" w:hAnsi="Times New Roman"/>
          <w:b/>
          <w:bCs/>
          <w:i/>
          <w:iCs/>
          <w:color w:val="333333"/>
          <w:sz w:val="22"/>
          <w:szCs w:val="22"/>
        </w:rPr>
        <w:t xml:space="preserve">Aitchison distance [5]</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natural metric on the probability simplex: d_A(ρ, ρ′) = √[Σᵢ(ln(ρᵢ/g(ρ)) − ln(ρ′ᵢ/g(ρ′)))²], where g(·) is the geometric mean. MDG is a first-order approximation of d_A for small perturbations.</w:t>
      </w:r>
    </w:p>
    <w:p>
      <w:pPr>
        <w:spacing w:after="140" w:line="276"/>
        <w:ind w:left="360"/>
      </w:pPr>
      <w:r>
        <w:rPr>
          <w:rFonts w:ascii="Times New Roman" w:cs="Times New Roman" w:eastAsia="Times New Roman" w:hAnsi="Times New Roman"/>
          <w:b/>
          <w:bCs/>
          <w:i/>
          <w:iCs/>
          <w:color w:val="333333"/>
          <w:sz w:val="22"/>
          <w:szCs w:val="22"/>
        </w:rPr>
        <w:t xml:space="preserve">Operator Control Contract (OCC)</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stability guarantee: the operator’s governance weight w_op ≥ 0.51 ensures that no tool with w_tool ≤ 0.49 can unilaterally shift the portfolio. All state transitions remain operator-authorised.</w:t>
      </w:r>
    </w:p>
    <w:p>
      <w:pPr>
        <w:spacing w:after="140" w:line="276"/>
        <w:ind w:left="360"/>
      </w:pPr>
      <w:r>
        <w:rPr>
          <w:rFonts w:ascii="Times New Roman" w:cs="Times New Roman" w:eastAsia="Times New Roman" w:hAnsi="Times New Roman"/>
          <w:b/>
          <w:bCs/>
          <w:i/>
          <w:iCs/>
          <w:color w:val="333333"/>
          <w:sz w:val="22"/>
          <w:szCs w:val="22"/>
        </w:rPr>
        <w:t xml:space="preserve">Ratio state monitoring (MC-4) (introduced here)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fourth monitoring category. Monitors a system’s internal distribution across its elements, expressed as proportional shares, tracked across reporting cycles, using the system’s own declared priorities as the reference.</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3. The Three Established Monitoring Categories</w:t>
      </w:r>
    </w:p>
    <w:p>
      <w:pPr>
        <w:spacing w:after="180" w:line="276"/>
      </w:pPr>
      <w:r>
        <w:rPr>
          <w:rFonts w:ascii="Times New Roman" w:cs="Times New Roman" w:eastAsia="Times New Roman" w:hAnsi="Times New Roman"/>
          <w:color w:val="333333"/>
          <w:sz w:val="22"/>
          <w:szCs w:val="22"/>
        </w:rPr>
        <w:t xml:space="preserve">Lindenmayer and Likens </w:t>
      </w:r>
      <w:r>
        <w:rPr>
          <w:rFonts w:ascii="Times New Roman" w:cs="Times New Roman" w:eastAsia="Times New Roman" w:hAnsi="Times New Roman"/>
          <w:color w:val="333333"/>
          <w:sz w:val="22"/>
          <w:szCs w:val="22"/>
        </w:rPr>
        <w:t xml:space="preserve">[1]</w:t>
      </w:r>
      <w:r>
        <w:rPr>
          <w:rFonts w:ascii="Times New Roman" w:cs="Times New Roman" w:eastAsia="Times New Roman" w:hAnsi="Times New Roman"/>
          <w:color w:val="333333"/>
          <w:sz w:val="22"/>
          <w:szCs w:val="22"/>
        </w:rPr>
        <w:t xml:space="preserve"> classify ecological monitoring into three categories based on the type of reference the instrument employs. The classification is structural: each category answers a different kind of question and requires different institutional arrangements. Table 1 summarises the framework and introduces the fourth category proposed in this paper.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800"/>
        <w:gridCol w:w="2200"/>
        <w:gridCol w:w="2860"/>
      </w:tblGrid>
      <w:tr>
        <w:tc>
          <w:tcPr>
            <w:tcW w:type="dxa" w:w="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ID</w:t>
            </w:r>
          </w:p>
        </w:tc>
        <w:tc>
          <w:tcPr>
            <w:tcW w:type="dxa" w:w="19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Category</w:t>
            </w:r>
          </w:p>
        </w:tc>
        <w:tc>
          <w:tcPr>
            <w:tcW w:type="dxa" w:w="18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Reference Type</w:t>
            </w:r>
          </w:p>
        </w:tc>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Primary Question</w:t>
            </w:r>
          </w:p>
        </w:tc>
        <w:tc>
          <w:tcPr>
            <w:tcW w:type="dxa" w:w="28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Cross-Cycle Traceability</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MC-1</w:t>
            </w:r>
          </w:p>
        </w:tc>
        <w:tc>
          <w:tcPr>
            <w:tcW w:type="dxa" w:w="19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Passive monitoring</w:t>
            </w:r>
          </w:p>
        </w:tc>
        <w:tc>
          <w:tcPr>
            <w:tcW w:type="dxa" w:w="1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None</w:t>
            </w:r>
          </w:p>
        </w:tc>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What is happening?</w:t>
            </w:r>
          </w:p>
        </w:tc>
        <w:tc>
          <w:tcPr>
            <w:tcW w:type="dxa" w:w="28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Incidental; depends on observer continuity</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MC-2</w:t>
            </w:r>
          </w:p>
        </w:tc>
        <w:tc>
          <w:tcPr>
            <w:tcW w:type="dxa" w:w="19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Mandated monitoring</w:t>
            </w:r>
          </w:p>
        </w:tc>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External legal threshold</w:t>
            </w:r>
          </w:p>
        </w:tc>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Is the threshold breached?</w:t>
            </w:r>
          </w:p>
        </w:tc>
        <w:tc>
          <w:tcPr>
            <w:tcW w:type="dxa" w:w="28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Trend detection within threshold metric</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MC-3</w:t>
            </w:r>
          </w:p>
        </w:tc>
        <w:tc>
          <w:tcPr>
            <w:tcW w:type="dxa" w:w="19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Question-driven monitoring</w:t>
            </w:r>
          </w:p>
        </w:tc>
        <w:tc>
          <w:tcPr>
            <w:tcW w:type="dxa" w:w="18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Conceptual model</w:t>
            </w:r>
          </w:p>
        </w:tc>
        <w:tc>
          <w:tcPr>
            <w:tcW w:type="dxa" w:w="2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Does the model hold?</w:t>
            </w:r>
          </w:p>
        </w:tc>
        <w:tc>
          <w:tcPr>
            <w:tcW w:type="dxa" w:w="28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Within hypothesis window</w:t>
            </w:r>
          </w:p>
        </w:tc>
      </w:tr>
      <w:tr>
        <w:tc>
          <w:tcPr>
            <w:tcW w:type="dxa" w:w="6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MC-4</w:t>
            </w:r>
          </w:p>
        </w:tc>
        <w:tc>
          <w:tcPr>
            <w:tcW w:type="dxa" w:w="19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Ratio state monitoring</w:t>
            </w:r>
          </w:p>
        </w:tc>
        <w:tc>
          <w:tcPr>
            <w:tcW w:type="dxa" w:w="18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System’s own declared intent</w:t>
            </w:r>
          </w:p>
        </w:tc>
        <w:tc>
          <w:tcPr>
            <w:tcW w:type="dxa" w:w="220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Is declared intent being met?</w:t>
            </w:r>
          </w:p>
        </w:tc>
        <w:tc>
          <w:tcPr>
            <w:tcW w:type="dxa" w:w="2860"/>
            <w:tcBorders>
              <w:top w:val="single" w:color="BBBBBB" w:sz="1"/>
              <w:left w:val="single" w:color="BBBBBB" w:sz="1"/>
              <w:bottom w:val="single" w:color="BBBBBB" w:sz="1"/>
              <w:right w:val="single" w:color="BBBBBB" w:sz="1"/>
            </w:tcBorders>
            <w:shd w:fill="FFF2CC"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Structural — all cycles, all elements</w:t>
            </w:r>
          </w:p>
        </w:tc>
      </w:tr>
    </w:tbl>
    <w:p>
      <w:pPr>
        <w:spacing w:after="100" w:line="276"/>
      </w:pPr>
      <w:r>
        <w:rPr>
          <w:rFonts w:ascii="Times New Roman" w:cs="Times New Roman" w:eastAsia="Times New Roman" w:hAnsi="Times New Roman"/>
          <w:b/>
          <w:bCs/>
          <w:i/>
          <w:iCs/>
          <w:color w:val="333333"/>
          <w:sz w:val="22"/>
          <w:szCs w:val="22"/>
        </w:rPr>
        <w:t xml:space="preserve">Table 1. </w:t>
      </w:r>
      <w:r>
        <w:rPr>
          <w:rFonts w:ascii="Times New Roman" w:cs="Times New Roman" w:eastAsia="Times New Roman" w:hAnsi="Times New Roman"/>
          <w:i/>
          <w:iCs/>
          <w:color w:val="333333"/>
          <w:sz w:val="22"/>
          <w:szCs w:val="22"/>
        </w:rPr>
        <w:t xml:space="preserve">The monitoring category taxonomy. MC-1 through MC-3 follow Lindenmayer and Likens [1]. MC-4 is introduced in this paper.</w:t>
      </w:r>
    </w:p>
    <w:p>
      <w:pPr>
        <w:spacing w:after="60"/>
      </w:pPr>
    </w:p>
    <w:p>
      <w:pPr>
        <w:spacing w:after="180" w:line="276"/>
      </w:pPr>
      <w:r>
        <w:rPr>
          <w:rFonts w:ascii="Times New Roman" w:cs="Times New Roman" w:eastAsia="Times New Roman" w:hAnsi="Times New Roman"/>
          <w:color w:val="333333"/>
          <w:sz w:val="22"/>
          <w:szCs w:val="22"/>
        </w:rPr>
        <w:t xml:space="preserve">The structural gap is visible in the table. MC-1 has no reference; MC-2 and MC-3 use external references (a threshold, a model). None of the three uses the system’s own declared priorities as the reference, and none classifies observed changes as intentional or silent. The consequence is that a governance system can satisfy all three established monitoring categories while undergoing slow, unreported redistribution of institutional attention — a phenomenon we term </w:t>
      </w:r>
      <w:r>
        <w:rPr>
          <w:rFonts w:ascii="Times New Roman" w:cs="Times New Roman" w:eastAsia="Times New Roman" w:hAnsi="Times New Roman"/>
          <w:i/>
          <w:iCs/>
          <w:color w:val="333333"/>
          <w:sz w:val="22"/>
          <w:szCs w:val="22"/>
        </w:rPr>
        <w:t xml:space="preserve">silent drift</w:t>
      </w:r>
      <w:r>
        <w:rPr>
          <w:rFonts w:ascii="Times New Roman" w:cs="Times New Roman" w:eastAsia="Times New Roman" w:hAnsi="Times New Roman"/>
          <w:color w:val="333333"/>
          <w:sz w:val="22"/>
          <w:szCs w:val="22"/>
        </w:rPr>
        <w:t xml:space="preserve">.</w:t>
      </w:r>
    </w:p>
    <w:p>
      <w:pPr>
        <w:spacing w:after="60"/>
      </w:pPr>
    </w:p>
    <w:p>
      <w:pPr>
        <w:pStyle w:val="Heading1"/>
        <w:spacing w:after="200" w:before="360"/>
      </w:pPr>
      <w:r>
        <w:rPr>
          <w:rFonts w:ascii="Times New Roman" w:cs="Times New Roman" w:eastAsia="Times New Roman" w:hAnsi="Times New Roman"/>
          <w:b/>
          <w:bCs/>
          <w:color w:val="1F3864"/>
          <w:sz w:val="28"/>
          <w:szCs w:val="28"/>
        </w:rPr>
        <w:t xml:space="preserve">4. Ratio State Monitoring as a Degenerate State Observer</w:t>
      </w:r>
    </w:p>
    <w:p>
      <w:pPr>
        <w:pStyle w:val="Heading2"/>
        <w:spacing w:after="160" w:before="280"/>
      </w:pPr>
      <w:r>
        <w:rPr>
          <w:rFonts w:ascii="Times New Roman" w:cs="Times New Roman" w:eastAsia="Times New Roman" w:hAnsi="Times New Roman"/>
          <w:b/>
          <w:bCs/>
          <w:color w:val="1F3864"/>
          <w:sz w:val="24"/>
          <w:szCs w:val="24"/>
        </w:rPr>
        <w:t xml:space="preserve">4.1  Classical Observer Theory</w:t>
      </w:r>
    </w:p>
    <w:p>
      <w:pPr>
        <w:spacing w:after="180" w:line="276"/>
      </w:pPr>
      <w:r>
        <w:rPr>
          <w:rFonts w:ascii="Times New Roman" w:cs="Times New Roman" w:eastAsia="Times New Roman" w:hAnsi="Times New Roman"/>
          <w:color w:val="333333"/>
          <w:sz w:val="22"/>
          <w:szCs w:val="22"/>
        </w:rPr>
        <w:t xml:space="preserve">In control engineering, a state observer reconstructs the internal state x(t) of a dynamic system from its measurable outputs y(t) using a mathematical model of the system’s dynamics </w:t>
      </w:r>
      <w:r>
        <w:rPr>
          <w:rFonts w:ascii="Times New Roman" w:cs="Times New Roman" w:eastAsia="Times New Roman" w:hAnsi="Times New Roman"/>
          <w:color w:val="333333"/>
          <w:sz w:val="22"/>
          <w:szCs w:val="22"/>
        </w:rPr>
        <w:t xml:space="preserve">[2]</w:t>
      </w:r>
      <w:r>
        <w:rPr>
          <w:rFonts w:ascii="Times New Roman" w:cs="Times New Roman" w:eastAsia="Times New Roman" w:hAnsi="Times New Roman"/>
          <w:color w:val="333333"/>
          <w:sz w:val="22"/>
          <w:szCs w:val="22"/>
        </w:rPr>
        <w:t xml:space="preserve">[7]</w:t>
      </w:r>
      <w:r>
        <w:rPr>
          <w:rFonts w:ascii="Times New Roman" w:cs="Times New Roman" w:eastAsia="Times New Roman" w:hAnsi="Times New Roman"/>
          <w:color w:val="333333"/>
          <w:sz w:val="22"/>
          <w:szCs w:val="22"/>
        </w:rPr>
        <w:t xml:space="preserve">. The canonical Luenberger observer takes the form:</w:t>
      </w:r>
    </w:p>
    <w:p>
      <w:pPr>
        <w:spacing w:after="120" w:line="276"/>
        <w:ind w:left="720"/>
      </w:pPr>
      <w:r>
        <w:rPr>
          <w:rFonts w:ascii="Times New Roman" w:cs="Times New Roman" w:eastAsia="Times New Roman" w:hAnsi="Times New Roman"/>
          <w:i/>
          <w:iCs/>
          <w:color w:val="333333"/>
          <w:sz w:val="21"/>
          <w:szCs w:val="21"/>
        </w:rPr>
        <w:t xml:space="preserve">    ρ̂(t+1) = Aρ̂(t) + L(y(t) − Cρ̂(t))</w:t>
      </w:r>
    </w:p>
    <w:p>
      <w:pPr>
        <w:spacing w:after="180" w:line="276"/>
      </w:pPr>
      <w:r>
        <w:rPr>
          <w:rFonts w:ascii="Times New Roman" w:cs="Times New Roman" w:eastAsia="Times New Roman" w:hAnsi="Times New Roman"/>
          <w:color w:val="333333"/>
          <w:sz w:val="22"/>
          <w:szCs w:val="22"/>
        </w:rPr>
        <w:t xml:space="preserve">where A is the state transition matrix, C the output matrix, and L the observer gain. The observer works by comparing the predicted output Cρ̂(t) to the measured output y(t) and correcting the state estimate proportionally. The observer requires a mathematical model of the system (A, C) and a non-trivial gain (L ≠ 0).</w:t>
      </w:r>
    </w:p>
    <w:p>
      <w:pPr>
        <w:pStyle w:val="Heading2"/>
        <w:spacing w:after="160" w:before="280"/>
      </w:pPr>
      <w:r>
        <w:rPr>
          <w:rFonts w:ascii="Times New Roman" w:cs="Times New Roman" w:eastAsia="Times New Roman" w:hAnsi="Times New Roman"/>
          <w:b/>
          <w:bCs/>
          <w:color w:val="1F3864"/>
          <w:sz w:val="24"/>
          <w:szCs w:val="24"/>
        </w:rPr>
        <w:t xml:space="preserve">4.2  The Simplex-State System</w:t>
      </w:r>
    </w:p>
    <w:p>
      <w:pPr>
        <w:spacing w:after="180" w:line="276"/>
      </w:pPr>
      <w:r>
        <w:rPr>
          <w:rFonts w:ascii="Times New Roman" w:cs="Times New Roman" w:eastAsia="Times New Roman" w:hAnsi="Times New Roman"/>
          <w:color w:val="333333"/>
          <w:sz w:val="22"/>
          <w:szCs w:val="22"/>
        </w:rPr>
        <w:t xml:space="preserve">A finite-budget system can be formalized as a tuple (E, ρ, T, φ) where E = {e₁, …, eₖ} is the element set, ρ(t) ∈ Sᴷ is the state vector on the open simplex Sᴷ = {ρ ∈ ℝᴷ : Σρᵢ = 1, ρᵢ &gt; 0}, T ⊆ ℤ⁺ is the governance timeline, and φ: Sᴷ × U → Sᴷ is the state transition function. The critical property is the unity constraint: Σᵢ ρᵢ(t) = 1 for all t ∈ T.</w:t>
      </w:r>
    </w:p>
    <w:p>
      <w:pPr>
        <w:spacing w:after="180" w:line="276"/>
      </w:pPr>
      <w:r>
        <w:rPr>
          <w:rFonts w:ascii="Times New Roman" w:cs="Times New Roman" w:eastAsia="Times New Roman" w:hAnsi="Times New Roman"/>
          <w:color w:val="333333"/>
          <w:sz w:val="22"/>
          <w:szCs w:val="22"/>
        </w:rPr>
        <w:t xml:space="preserve">This constraint has a consequence that distinguishes simplex-state systems from general dynamic systems: the output of the system is the state itself. The allocation shares declared by the governance actor are not an indirect measurement of a hidden state — they are the state. In the notation of observer theory, the output equation is:</w:t>
      </w:r>
    </w:p>
    <w:p>
      <w:pPr>
        <w:spacing w:after="120" w:line="276"/>
        <w:ind w:left="720"/>
      </w:pPr>
      <w:r>
        <w:rPr>
          <w:rFonts w:ascii="Times New Roman" w:cs="Times New Roman" w:eastAsia="Times New Roman" w:hAnsi="Times New Roman"/>
          <w:i/>
          <w:iCs/>
          <w:color w:val="333333"/>
          <w:sz w:val="21"/>
          <w:szCs w:val="21"/>
        </w:rPr>
        <w:t xml:space="preserve">    y(t) = ρ(t)</w:t>
      </w:r>
    </w:p>
    <w:p>
      <w:pPr>
        <w:spacing w:after="180" w:line="276"/>
      </w:pPr>
      <w:r>
        <w:rPr>
          <w:rFonts w:ascii="Times New Roman" w:cs="Times New Roman" w:eastAsia="Times New Roman" w:hAnsi="Times New Roman"/>
          <w:color w:val="333333"/>
          <w:sz w:val="22"/>
          <w:szCs w:val="22"/>
        </w:rPr>
        <w:t xml:space="preserve">That is, the output matrix C is the identity and the observation is complete.</w:t>
      </w:r>
    </w:p>
    <w:p>
      <w:pPr>
        <w:pStyle w:val="Heading2"/>
        <w:spacing w:after="160" w:before="280"/>
      </w:pPr>
      <w:r>
        <w:rPr>
          <w:rFonts w:ascii="Times New Roman" w:cs="Times New Roman" w:eastAsia="Times New Roman" w:hAnsi="Times New Roman"/>
          <w:b/>
          <w:bCs/>
          <w:color w:val="1F3864"/>
          <w:sz w:val="24"/>
          <w:szCs w:val="24"/>
        </w:rPr>
        <w:t xml:space="preserve">4.3  Perfect Observability Without a Model</w:t>
      </w:r>
    </w:p>
    <w:p>
      <w:pPr>
        <w:spacing w:after="180" w:line="276"/>
      </w:pPr>
      <w:r>
        <w:rPr>
          <w:rFonts w:ascii="Times New Roman" w:cs="Times New Roman" w:eastAsia="Times New Roman" w:hAnsi="Times New Roman"/>
          <w:b/>
          <w:bCs/>
          <w:i/>
          <w:iCs/>
          <w:color w:val="333333"/>
          <w:sz w:val="22"/>
          <w:szCs w:val="22"/>
        </w:rPr>
        <w:t xml:space="preserve">Proposition 1 (Perfect Observability). </w:t>
      </w:r>
      <w:r>
        <w:rPr>
          <w:rFonts w:ascii="Times New Roman" w:cs="Times New Roman" w:eastAsia="Times New Roman" w:hAnsi="Times New Roman"/>
          <w:color w:val="333333"/>
          <w:sz w:val="22"/>
          <w:szCs w:val="22"/>
        </w:rPr>
        <w:t xml:space="preserve">Every simplex-state system is perfectly observable from {ρ(t) : t ∈ T}. The observer ρ̂(t) = ρ(t) achieves zero estimation error for all t, with observer gain L = 0.</w:t>
      </w:r>
    </w:p>
    <w:p>
      <w:pPr>
        <w:spacing w:after="180" w:line="276"/>
      </w:pPr>
      <w:r>
        <w:rPr>
          <w:rFonts w:ascii="Times New Roman" w:cs="Times New Roman" w:eastAsia="Times New Roman" w:hAnsi="Times New Roman"/>
          <w:color w:val="333333"/>
          <w:sz w:val="22"/>
          <w:szCs w:val="22"/>
        </w:rPr>
        <w:t xml:space="preserve">The proof is immediate from the identity y(t) = ρ(t). The observer is </w:t>
      </w:r>
      <w:r>
        <w:rPr>
          <w:rFonts w:ascii="Times New Roman" w:cs="Times New Roman" w:eastAsia="Times New Roman" w:hAnsi="Times New Roman"/>
          <w:i/>
          <w:iCs/>
          <w:color w:val="333333"/>
          <w:sz w:val="22"/>
          <w:szCs w:val="22"/>
        </w:rPr>
        <w:t xml:space="preserve">degenerate</w:t>
      </w:r>
      <w:r>
        <w:rPr>
          <w:rFonts w:ascii="Times New Roman" w:cs="Times New Roman" w:eastAsia="Times New Roman" w:hAnsi="Times New Roman"/>
          <w:color w:val="333333"/>
          <w:sz w:val="22"/>
          <w:szCs w:val="22"/>
        </w:rPr>
        <w:t xml:space="preserve"> in the formal sense: it requires no system model (A is unnecessary), no computation (the state is directly read, not estimated), and no gain tuning. This property is not shared by general dynamic systems. It arises specifically because the unity constraint eliminates hidden degrees of freedom — knowing the allocation shares is knowing the state.</w:t>
      </w:r>
    </w:p>
    <w:p>
      <w:pPr>
        <w:spacing w:after="180" w:line="276"/>
      </w:pPr>
      <w:r>
        <w:rPr>
          <w:rFonts w:ascii="Times New Roman" w:cs="Times New Roman" w:eastAsia="Times New Roman" w:hAnsi="Times New Roman"/>
          <w:color w:val="333333"/>
          <w:sz w:val="22"/>
          <w:szCs w:val="22"/>
        </w:rPr>
        <w:t xml:space="preserve">The practical significance is that ratio state monitoring requires no mathematical model of the system being observed. A transit authority, a wetland conservation agency, and a satellite mission control team can all be monitored using the same instrument because the instrument reads the ratio state directly from declared outputs. The Aitchison distance </w:t>
      </w:r>
      <w:r>
        <w:rPr>
          <w:rFonts w:ascii="Times New Roman" w:cs="Times New Roman" w:eastAsia="Times New Roman" w:hAnsi="Times New Roman"/>
          <w:color w:val="333333"/>
          <w:sz w:val="22"/>
          <w:szCs w:val="22"/>
        </w:rPr>
        <w:t xml:space="preserve">[5]</w:t>
      </w:r>
      <w:r>
        <w:rPr>
          <w:rFonts w:ascii="Times New Roman" w:cs="Times New Roman" w:eastAsia="Times New Roman" w:hAnsi="Times New Roman"/>
          <w:color w:val="333333"/>
          <w:sz w:val="22"/>
          <w:szCs w:val="22"/>
        </w:rPr>
        <w:t xml:space="preserve">[6]</w:t>
      </w:r>
      <w:r>
        <w:rPr>
          <w:rFonts w:ascii="Times New Roman" w:cs="Times New Roman" w:eastAsia="Times New Roman" w:hAnsi="Times New Roman"/>
          <w:color w:val="333333"/>
          <w:sz w:val="22"/>
          <w:szCs w:val="22"/>
        </w:rPr>
        <w:t xml:space="preserve"> provides the natural metric on the simplex for quantifying drift magnitude.</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5. Six Failure Modes Invisible to the Established Categories</w:t>
      </w:r>
    </w:p>
    <w:p>
      <w:pPr>
        <w:spacing w:after="180" w:line="276"/>
      </w:pPr>
      <w:r>
        <w:rPr>
          <w:rFonts w:ascii="Times New Roman" w:cs="Times New Roman" w:eastAsia="Times New Roman" w:hAnsi="Times New Roman"/>
          <w:color w:val="333333"/>
          <w:sz w:val="22"/>
          <w:szCs w:val="22"/>
        </w:rPr>
        <w:t xml:space="preserve">Ratio state monitoring is designed to detect a specific class of governance failures that are structurally invisible to MC-1, MC-2, and MC-3. The six failure modes form a progression: later modes are typically consequences of earlier ones left unaddressed.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400"/>
        <w:gridCol w:w="1200"/>
        <w:gridCol w:w="1200"/>
        <w:gridCol w:w="2360"/>
      </w:tblGrid>
      <w:tr>
        <w:tc>
          <w:tcPr>
            <w:tcW w:type="dxa" w:w="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ID</w:t>
            </w:r>
          </w:p>
        </w:tc>
        <w:tc>
          <w:tcPr>
            <w:tcW w:type="dxa" w:w="16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Name</w:t>
            </w:r>
          </w:p>
        </w:tc>
        <w:tc>
          <w:tcPr>
            <w:tcW w:type="dxa" w:w="2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Mechanism</w:t>
            </w:r>
          </w:p>
        </w:tc>
        <w:tc>
          <w:tcPr>
            <w:tcW w:type="dxa" w:w="1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Root Cause</w:t>
            </w:r>
          </w:p>
        </w:tc>
        <w:tc>
          <w:tcPr>
            <w:tcW w:type="dxa" w:w="1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Detection</w:t>
            </w:r>
          </w:p>
        </w:tc>
        <w:tc>
          <w:tcPr>
            <w:tcW w:type="dxa" w:w="23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Why MC-1/2/3 Miss It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FM-1</w:t>
            </w:r>
          </w:p>
        </w:tc>
        <w:tc>
          <w:tcPr>
            <w:tcW w:type="dxa" w:w="1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Ratio Blindness</w:t>
            </w:r>
          </w:p>
        </w:tc>
        <w:tc>
          <w:tcPr>
            <w:tcW w:type="dxa" w:w="2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Managing by absolute metrics; ignoring relational structure</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Absolute measures used where ratios are meaningful</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Portfolio share table</w:t>
            </w:r>
          </w:p>
        </w:tc>
        <w:tc>
          <w:tcPr>
            <w:tcW w:type="dxa" w:w="23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All three categories can report absolute improvements while portfolio concentration increases</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FM-2</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Silent Reweighting</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Gradual allocation drift below formal governance threshold</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 intentional/silent distinction</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Change log</w:t>
            </w:r>
          </w:p>
        </w:tc>
        <w:tc>
          <w:tcPr>
            <w:tcW w:type="dxa" w:w="23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None of the three ask whether a governance decision produced the observed change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FM-3</w:t>
            </w:r>
          </w:p>
        </w:tc>
        <w:tc>
          <w:tcPr>
            <w:tcW w:type="dxa" w:w="1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Snapshot Error</w:t>
            </w:r>
          </w:p>
        </w:tc>
        <w:tc>
          <w:tcPr>
            <w:tcW w:type="dxa" w:w="2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High-Q element observed at cycle trough; phase read as contribution</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Observation window &lt; characteristic period</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Q-factor, data age</w:t>
            </w:r>
          </w:p>
        </w:tc>
        <w:tc>
          <w:tcPr>
            <w:tcW w:type="dxa" w:w="23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Single-cycle observation is the default for all three; no cross-cycle phase correction</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FM-4</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Concentration Trap</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Portfolio allocating increasing share to decreasing number of dominant elements</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FM-2 in concentration direction</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PROOF line trend</w:t>
            </w:r>
          </w:p>
        </w:tc>
        <w:tc>
          <w:tcPr>
            <w:tcW w:type="dxa" w:w="23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Efficiency gains are visible; lost optionality is not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FM-5</w:t>
            </w:r>
          </w:p>
        </w:tc>
        <w:tc>
          <w:tcPr>
            <w:tcW w:type="dxa" w:w="16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Fragmentation Spiral</w:t>
            </w:r>
          </w:p>
        </w:tc>
        <w:tc>
          <w:tcPr>
            <w:tcW w:type="dxa" w:w="2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Sub-threshold attention dispersed across too many elements</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FM-2 in fragmentation direction</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Reciprocal PROOF</w:t>
            </w:r>
          </w:p>
        </w:tc>
        <w:tc>
          <w:tcPr>
            <w:tcW w:type="dxa" w:w="23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Diversity appears healthy; sub-threshold management is invisible</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bCs/>
                <w:color w:val="333333"/>
                <w:sz w:val="18"/>
                <w:szCs w:val="18"/>
              </w:rPr>
              <w:t xml:space="preserve">FM-6</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Orphan Element</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Element present on paper but outside effective governance</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Terminal state of FM-4 or FM-5</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Coverage record</w:t>
            </w:r>
          </w:p>
        </w:tc>
        <w:tc>
          <w:tcPr>
            <w:tcW w:type="dxa" w:w="23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Element still listed in reports; absence of attention is not a threshold event</w:t>
            </w:r>
          </w:p>
        </w:tc>
      </w:tr>
    </w:tbl>
    <w:p>
      <w:pPr>
        <w:spacing w:after="100" w:line="276"/>
      </w:pPr>
      <w:r>
        <w:rPr>
          <w:rFonts w:ascii="Times New Roman" w:cs="Times New Roman" w:eastAsia="Times New Roman" w:hAnsi="Times New Roman"/>
          <w:b/>
          <w:bCs/>
          <w:i/>
          <w:iCs/>
          <w:color w:val="333333"/>
          <w:sz w:val="22"/>
          <w:szCs w:val="22"/>
        </w:rPr>
        <w:t xml:space="preserve">Table 2. </w:t>
      </w:r>
      <w:r>
        <w:rPr>
          <w:rFonts w:ascii="Times New Roman" w:cs="Times New Roman" w:eastAsia="Times New Roman" w:hAnsi="Times New Roman"/>
          <w:i/>
          <w:iCs/>
          <w:color w:val="333333"/>
          <w:sz w:val="22"/>
          <w:szCs w:val="22"/>
        </w:rPr>
        <w:t xml:space="preserve">Six failure modes detectable by ratio state monitoring and structurally invisible to the three established monitoring categories.</w:t>
      </w:r>
    </w:p>
    <w:p>
      <w:pPr>
        <w:spacing w:after="60"/>
      </w:pPr>
    </w:p>
    <w:p>
      <w:pPr>
        <w:spacing w:after="180" w:line="276"/>
      </w:pPr>
      <w:r>
        <w:rPr>
          <w:rFonts w:ascii="Times New Roman" w:cs="Times New Roman" w:eastAsia="Times New Roman" w:hAnsi="Times New Roman"/>
          <w:color w:val="333333"/>
          <w:sz w:val="22"/>
          <w:szCs w:val="22"/>
        </w:rPr>
        <w:t xml:space="preserve">FM-1 is the enabling condition. It is the systematic error that occurs whenever a finite-budget system is managed using absolute metrics — when each element’s score, area, or budget allocation is treated as an independent variable rather than as a share of a conserved total. An institution can improve every element’s absolute score while simultaneously concentrating attention on a smaller subset. The absolute improvement is real. The portfolio drift is also real. The established monitoring categories see the first and are structurally unable to see the second.</w:t>
      </w:r>
    </w:p>
    <w:p>
      <w:pPr>
        <w:spacing w:after="180" w:line="276"/>
      </w:pPr>
      <w:r>
        <w:rPr>
          <w:rFonts w:ascii="Times New Roman" w:cs="Times New Roman" w:eastAsia="Times New Roman" w:hAnsi="Times New Roman"/>
          <w:color w:val="333333"/>
          <w:sz w:val="22"/>
          <w:szCs w:val="22"/>
        </w:rPr>
        <w:t xml:space="preserve">FM-2 is the mechanism by which FM-1 operates over time. No governance decision is made to concentrate attention. Administrative gravity — the tendency for resources to flow toward visible, accessible, politically salient elements — operates below the threshold of formal governance. Each reporting cycle reflects the previous one, slightly modified. The cumulative effect, across three to five cycles, is a substantial and unreported shift in portfolio allocation.</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6. The Quality Factor and the Snapshot Problem</w:t>
      </w:r>
    </w:p>
    <w:p>
      <w:pPr>
        <w:spacing w:after="180" w:line="276"/>
      </w:pPr>
      <w:r>
        <w:rPr>
          <w:rFonts w:ascii="Times New Roman" w:cs="Times New Roman" w:eastAsia="Times New Roman" w:hAnsi="Times New Roman"/>
          <w:color w:val="333333"/>
          <w:sz w:val="22"/>
          <w:szCs w:val="22"/>
        </w:rPr>
        <w:t xml:space="preserve">The quality factor Q, adapted from electrical engineering resonance theory, provides a formal account of why snapshot-based governance systematically removes high-value long-cycle elements. In the original context, Q = f₀ / Δf, where f₀ is the resonant frequency and Δf the bandwidth. High-Q circuits are sharp and efficient; low-Q circuits are broad and robust.</w:t>
      </w:r>
    </w:p>
    <w:p>
      <w:pPr>
        <w:spacing w:after="180" w:line="276"/>
      </w:pPr>
      <w:r>
        <w:rPr>
          <w:rFonts w:ascii="Times New Roman" w:cs="Times New Roman" w:eastAsia="Times New Roman" w:hAnsi="Times New Roman"/>
          <w:color w:val="333333"/>
          <w:sz w:val="22"/>
          <w:szCs w:val="22"/>
        </w:rPr>
        <w:t xml:space="preserve">In the governance context </w:t>
      </w:r>
      <w:r>
        <w:rPr>
          <w:rFonts w:ascii="Times New Roman" w:cs="Times New Roman" w:eastAsia="Times New Roman" w:hAnsi="Times New Roman"/>
          <w:color w:val="333333"/>
          <w:sz w:val="22"/>
          <w:szCs w:val="22"/>
        </w:rPr>
        <w:t xml:space="preserve">[8]</w:t>
      </w:r>
      <w:r>
        <w:rPr>
          <w:rFonts w:ascii="Times New Roman" w:cs="Times New Roman" w:eastAsia="Times New Roman" w:hAnsi="Times New Roman"/>
          <w:color w:val="333333"/>
          <w:sz w:val="22"/>
          <w:szCs w:val="22"/>
        </w:rPr>
        <w:t xml:space="preserve">, Qᵢ = T_char,i / T_obs, where T_char is the element’s characteristic contribution period (the time for one full expression of its function) and T_obs is the observation window. A wetland whose endemic species recovery cycle spans 20 years, observed triennially, has Q ≈ 6.7. A transport corridor measured daily has Q ≈ 1.</w:t>
      </w:r>
    </w:p>
    <w:p>
      <w:pPr>
        <w:spacing w:after="180" w:line="276"/>
      </w:pPr>
      <w:r>
        <w:rPr>
          <w:rFonts w:ascii="Times New Roman" w:cs="Times New Roman" w:eastAsia="Times New Roman" w:hAnsi="Times New Roman"/>
          <w:color w:val="333333"/>
          <w:sz w:val="22"/>
          <w:szCs w:val="22"/>
        </w:rPr>
        <w:t xml:space="preserve">The governance consequence is precise. A high-Q element observed at a random point in its cycle appears, with high probability, to be in a low-contribution phase. A single-cycle snapshot reads this phase position as the element’s contribution level, undervaluing it relative to its long-term function. If allocation decisions are made from single-cycle snapshots, high-Q elements are systematically deprioritised. The deprioritisation reduces their observed share, which further reduces their apparent contribution in the next snapshot, creating a positive feedback loop that drives the element toward orphan status (FM-6).</w:t>
      </w:r>
    </w:p>
    <w:p>
      <w:pPr>
        <w:spacing w:after="180" w:line="276"/>
      </w:pPr>
      <w:r>
        <w:rPr>
          <w:rFonts w:ascii="Times New Roman" w:cs="Times New Roman" w:eastAsia="Times New Roman" w:hAnsi="Times New Roman"/>
          <w:color w:val="333333"/>
          <w:sz w:val="22"/>
          <w:szCs w:val="22"/>
        </w:rPr>
        <w:t xml:space="preserve">The system-level weighted Q is Q_sys = Σᵢ ρᵢ · Qᵢ, which measures the portfolio’s effective characteristic timescale. A portfolio with high Q_sys requires multiple reporting cycles to characterise fully. The minimum observation window for reliable drift detection is the characteristic period of the highest-Q element in the portfolio.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1400"/>
        <w:gridCol w:w="1400"/>
        <w:gridCol w:w="2820"/>
      </w:tblGrid>
      <w:tr>
        <w:tc>
          <w:tcPr>
            <w:tcW w:type="dxa" w:w="234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Domain / Element</w:t>
            </w:r>
          </w:p>
        </w:tc>
        <w:tc>
          <w:tcPr>
            <w:tcW w:type="dxa" w:w="1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T_char</w:t>
            </w:r>
          </w:p>
        </w:tc>
        <w:tc>
          <w:tcPr>
            <w:tcW w:type="dxa" w:w="1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T_obs</w:t>
            </w:r>
          </w:p>
        </w:tc>
        <w:tc>
          <w:tcPr>
            <w:tcW w:type="dxa" w:w="1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Q</w:t>
            </w:r>
          </w:p>
        </w:tc>
        <w:tc>
          <w:tcPr>
            <w:tcW w:type="dxa" w:w="282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Governance Implication</w:t>
            </w:r>
          </w:p>
        </w:tc>
      </w:tr>
      <w:tr>
        <w:tc>
          <w:tcPr>
            <w:tcW w:type="dxa" w:w="234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Sourdough / Yeast</w:t>
            </w:r>
          </w:p>
        </w:tc>
        <w:tc>
          <w:tcPr>
            <w:tcW w:type="dxa" w:w="1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4–12 hr</w:t>
            </w:r>
          </w:p>
        </w:tc>
        <w:tc>
          <w:tcPr>
            <w:tcW w:type="dxa" w:w="1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 min</w:t>
            </w:r>
          </w:p>
        </w:tc>
        <w:tc>
          <w:tcPr>
            <w:tcW w:type="dxa" w:w="1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~500</w:t>
            </w:r>
          </w:p>
        </w:tc>
        <w:tc>
          <w:tcPr>
            <w:tcW w:type="dxa" w:w="28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Ultra-high Q; irreplaceable; treat removal as permanent</w:t>
            </w:r>
          </w:p>
        </w:tc>
      </w:tr>
      <w:tr>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Ramsar / Crna Mlaka</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~20 yr</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3 yr</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~6.7</w:t>
            </w:r>
          </w:p>
        </w:tc>
        <w:tc>
          <w:tcPr>
            <w:tcW w:type="dxa" w:w="282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Phase-dependent; requires cross-cycle observation</w:t>
            </w:r>
          </w:p>
        </w:tc>
      </w:tr>
      <w:tr>
        <w:tc>
          <w:tcPr>
            <w:tcW w:type="dxa" w:w="234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Transit / King Street corridor</w:t>
            </w:r>
          </w:p>
        </w:tc>
        <w:tc>
          <w:tcPr>
            <w:tcW w:type="dxa" w:w="1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 day</w:t>
            </w:r>
          </w:p>
        </w:tc>
        <w:tc>
          <w:tcPr>
            <w:tcW w:type="dxa" w:w="1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 day</w:t>
            </w:r>
          </w:p>
        </w:tc>
        <w:tc>
          <w:tcPr>
            <w:tcW w:type="dxa" w:w="1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~1</w:t>
            </w:r>
          </w:p>
        </w:tc>
        <w:tc>
          <w:tcPr>
            <w:tcW w:type="dxa" w:w="28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Low-Q; visible in most observation windows</w:t>
            </w:r>
          </w:p>
        </w:tc>
      </w:tr>
      <w:tr>
        <w:tc>
          <w:tcPr>
            <w:tcW w:type="dxa" w:w="234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Software / Archive namespace</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~months</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days–weeks</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~5</w:t>
            </w:r>
          </w:p>
        </w:tc>
        <w:tc>
          <w:tcPr>
            <w:tcW w:type="dxa" w:w="282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Medium-Q; verify data age before reallocation</w:t>
            </w:r>
          </w:p>
        </w:tc>
      </w:tr>
      <w:tr>
        <w:tc>
          <w:tcPr>
            <w:tcW w:type="dxa" w:w="234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Electronics / Dage X-ray audit</w:t>
            </w:r>
          </w:p>
        </w:tc>
        <w:tc>
          <w:tcPr>
            <w:tcW w:type="dxa" w:w="1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weeks–months</w:t>
            </w:r>
          </w:p>
        </w:tc>
        <w:tc>
          <w:tcPr>
            <w:tcW w:type="dxa" w:w="1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hours</w:t>
            </w:r>
          </w:p>
        </w:tc>
        <w:tc>
          <w:tcPr>
            <w:tcW w:type="dxa" w:w="1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~30</w:t>
            </w:r>
          </w:p>
        </w:tc>
        <w:tc>
          <w:tcPr>
            <w:tcW w:type="dxa" w:w="282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6"/>
                <w:szCs w:val="16"/>
              </w:rPr>
              <w:t xml:space="preserve">High-Q; human declaration required for sampling changes</w:t>
            </w:r>
          </w:p>
        </w:tc>
      </w:tr>
    </w:tbl>
    <w:p>
      <w:pPr>
        <w:spacing w:after="100" w:line="276"/>
      </w:pPr>
      <w:r>
        <w:rPr>
          <w:rFonts w:ascii="Times New Roman" w:cs="Times New Roman" w:eastAsia="Times New Roman" w:hAnsi="Times New Roman"/>
          <w:b/>
          <w:bCs/>
          <w:i/>
          <w:iCs/>
          <w:color w:val="333333"/>
          <w:sz w:val="22"/>
          <w:szCs w:val="22"/>
        </w:rPr>
        <w:t xml:space="preserve">Table 3. </w:t>
      </w:r>
      <w:r>
        <w:rPr>
          <w:rFonts w:ascii="Times New Roman" w:cs="Times New Roman" w:eastAsia="Times New Roman" w:hAnsi="Times New Roman"/>
          <w:i/>
          <w:iCs/>
          <w:color w:val="333333"/>
          <w:sz w:val="22"/>
          <w:szCs w:val="22"/>
        </w:rPr>
        <w:t xml:space="preserve">Quality factor across five domains. The same Q framework applies without modification.</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7. Convergence Under Closed Feedback</w:t>
      </w:r>
    </w:p>
    <w:p>
      <w:pPr>
        <w:pStyle w:val="Heading2"/>
        <w:spacing w:after="160" w:before="280"/>
      </w:pPr>
      <w:r>
        <w:rPr>
          <w:rFonts w:ascii="Times New Roman" w:cs="Times New Roman" w:eastAsia="Times New Roman" w:hAnsi="Times New Roman"/>
          <w:b/>
          <w:bCs/>
          <w:color w:val="1F3864"/>
          <w:sz w:val="24"/>
          <w:szCs w:val="24"/>
        </w:rPr>
        <w:t xml:space="preserve">7.1  The Four Artifacts</w:t>
      </w:r>
    </w:p>
    <w:p>
      <w:pPr>
        <w:spacing w:after="180" w:line="276"/>
      </w:pPr>
      <w:r>
        <w:rPr>
          <w:rFonts w:ascii="Times New Roman" w:cs="Times New Roman" w:eastAsia="Times New Roman" w:hAnsi="Times New Roman"/>
          <w:color w:val="333333"/>
          <w:sz w:val="22"/>
          <w:szCs w:val="22"/>
        </w:rPr>
        <w:t xml:space="preserve">Ratio state monitoring produces four tabular outputs at each reporting cycle, forming a closed feedback structure:</w:t>
      </w:r>
    </w:p>
    <w:p>
      <w:pPr>
        <w:spacing w:after="100" w:line="276"/>
        <w:ind w:left="360"/>
      </w:pPr>
      <w:r>
        <w:rPr>
          <w:rFonts w:ascii="Times New Roman" w:cs="Times New Roman" w:eastAsia="Times New Roman" w:hAnsi="Times New Roman"/>
          <w:b/>
          <w:bCs/>
          <w:color w:val="333333"/>
          <w:sz w:val="22"/>
          <w:szCs w:val="22"/>
        </w:rPr>
        <w:t xml:space="preserve">A-1: Portfolio Share Table. </w:t>
      </w:r>
      <w:r>
        <w:rPr>
          <w:rFonts w:ascii="Times New Roman" w:cs="Times New Roman" w:eastAsia="Times New Roman" w:hAnsi="Times New Roman"/>
          <w:color w:val="333333"/>
          <w:sz w:val="22"/>
          <w:szCs w:val="22"/>
        </w:rPr>
        <w:t xml:space="preserve">Current ratio state — each element’s observed share, leverage value, and data age.</w:t>
      </w:r>
    </w:p>
    <w:p>
      <w:pPr>
        <w:spacing w:after="100" w:line="276"/>
        <w:ind w:left="360"/>
      </w:pPr>
      <w:r>
        <w:rPr>
          <w:rFonts w:ascii="Times New Roman" w:cs="Times New Roman" w:eastAsia="Times New Roman" w:hAnsi="Times New Roman"/>
          <w:b/>
          <w:bCs/>
          <w:color w:val="333333"/>
          <w:sz w:val="22"/>
          <w:szCs w:val="22"/>
        </w:rPr>
        <w:t xml:space="preserve">A-2: Trace Report. </w:t>
      </w:r>
      <w:r>
        <w:rPr>
          <w:rFonts w:ascii="Times New Roman" w:cs="Times New Roman" w:eastAsia="Times New Roman" w:hAnsi="Times New Roman"/>
          <w:color w:val="333333"/>
          <w:sz w:val="22"/>
          <w:szCs w:val="22"/>
        </w:rPr>
        <w:t xml:space="preserve">Declared reasoning — which priorities were stated, by whom, with what rationale, under what data constraints.</w:t>
      </w:r>
    </w:p>
    <w:p>
      <w:pPr>
        <w:spacing w:after="100" w:line="276"/>
        <w:ind w:left="360"/>
      </w:pPr>
      <w:r>
        <w:rPr>
          <w:rFonts w:ascii="Times New Roman" w:cs="Times New Roman" w:eastAsia="Times New Roman" w:hAnsi="Times New Roman"/>
          <w:b/>
          <w:bCs/>
          <w:color w:val="333333"/>
          <w:sz w:val="22"/>
          <w:szCs w:val="22"/>
        </w:rPr>
        <w:t xml:space="preserve">A-3: Portfolio Change Log. </w:t>
      </w:r>
      <w:r>
        <w:rPr>
          <w:rFonts w:ascii="Times New Roman" w:cs="Times New Roman" w:eastAsia="Times New Roman" w:hAnsi="Times New Roman"/>
          <w:color w:val="333333"/>
          <w:sz w:val="22"/>
          <w:szCs w:val="22"/>
        </w:rPr>
        <w:t xml:space="preserve">Drift detection — which elements changed share, by how much, classified as intentional or silent.</w:t>
      </w:r>
    </w:p>
    <w:p>
      <w:pPr>
        <w:spacing w:after="140" w:line="276"/>
        <w:ind w:left="360"/>
      </w:pPr>
      <w:r>
        <w:rPr>
          <w:rFonts w:ascii="Times New Roman" w:cs="Times New Roman" w:eastAsia="Times New Roman" w:hAnsi="Times New Roman"/>
          <w:b/>
          <w:bCs/>
          <w:color w:val="333333"/>
          <w:sz w:val="22"/>
          <w:szCs w:val="22"/>
        </w:rPr>
        <w:t xml:space="preserve">A-4: Coverage Record. </w:t>
      </w:r>
      <w:r>
        <w:rPr>
          <w:rFonts w:ascii="Times New Roman" w:cs="Times New Roman" w:eastAsia="Times New Roman" w:hAnsi="Times New Roman"/>
          <w:color w:val="333333"/>
          <w:sz w:val="22"/>
          <w:szCs w:val="22"/>
        </w:rPr>
        <w:t xml:space="preserve">Accountability trail — elements that received reduced focus, the magnitude and criteria of reduction, and the declared reasoning.</w:t>
      </w:r>
    </w:p>
    <w:p>
      <w:pPr>
        <w:spacing w:after="180" w:line="276"/>
      </w:pPr>
      <w:r>
        <w:rPr>
          <w:rFonts w:ascii="Times New Roman" w:cs="Times New Roman" w:eastAsia="Times New Roman" w:hAnsi="Times New Roman"/>
          <w:color w:val="333333"/>
          <w:sz w:val="22"/>
          <w:szCs w:val="22"/>
        </w:rPr>
        <w:t xml:space="preserve">These four artifacts feed back to the next governance cycle. The share table establishes the current state. The trace report records the declared intent. The change log classifies the gap between intent and outcome. The coverage record prevents deprioritisation from occurring silently. When all four are present and the governance actor responds to the change log, the loop is closed.</w:t>
      </w:r>
    </w:p>
    <w:p>
      <w:pPr>
        <w:pStyle w:val="Heading2"/>
        <w:spacing w:after="160" w:before="280"/>
      </w:pPr>
      <w:r>
        <w:rPr>
          <w:rFonts w:ascii="Times New Roman" w:cs="Times New Roman" w:eastAsia="Times New Roman" w:hAnsi="Times New Roman"/>
          <w:b/>
          <w:bCs/>
          <w:color w:val="1F3864"/>
          <w:sz w:val="24"/>
          <w:szCs w:val="24"/>
        </w:rPr>
        <w:t xml:space="preserve">7.2  The OCC Stability Guarantee</w:t>
      </w:r>
    </w:p>
    <w:p>
      <w:pPr>
        <w:spacing w:after="180" w:line="276"/>
      </w:pPr>
      <w:r>
        <w:rPr>
          <w:rFonts w:ascii="Times New Roman" w:cs="Times New Roman" w:eastAsia="Times New Roman" w:hAnsi="Times New Roman"/>
          <w:b/>
          <w:bCs/>
          <w:i/>
          <w:iCs/>
          <w:color w:val="333333"/>
          <w:sz w:val="22"/>
          <w:szCs w:val="22"/>
        </w:rPr>
        <w:t xml:space="preserve">Theorem 1 (Operator Control Contract). </w:t>
      </w:r>
      <w:r>
        <w:rPr>
          <w:rFonts w:ascii="Times New Roman" w:cs="Times New Roman" w:eastAsia="Times New Roman" w:hAnsi="Times New Roman"/>
          <w:color w:val="333333"/>
          <w:sz w:val="22"/>
          <w:szCs w:val="22"/>
        </w:rPr>
        <w:t xml:space="preserve">Under OCC with w_op ≥ 0.51 and finite-horizon governance game: (i) the equilibrium operator action is feasible and unique; (ii) no tool with w_tool ≤ 0.49 can unilaterally shift the portfolio; (iii) all state transitions in T remain operator-authorised.</w:t>
      </w:r>
    </w:p>
    <w:p>
      <w:pPr>
        <w:spacing w:after="180" w:line="276"/>
      </w:pPr>
      <w:r>
        <w:rPr>
          <w:rFonts w:ascii="Times New Roman" w:cs="Times New Roman" w:eastAsia="Times New Roman" w:hAnsi="Times New Roman"/>
          <w:color w:val="333333"/>
          <w:sz w:val="22"/>
          <w:szCs w:val="22"/>
        </w:rPr>
        <w:t xml:space="preserve">The proof follows from majority-rule sufficiency on the governance weight simplex. The practical significance is that the monitoring instrument cannot override the governance actor. The instrument makes drift visible and classifies it. The governance actor decides what to do about it. This separation is essential for institutional adoption: the instrument does not make judgments, and it cannot compel action.</w:t>
      </w:r>
    </w:p>
    <w:p>
      <w:pPr>
        <w:pStyle w:val="Heading2"/>
        <w:spacing w:after="160" w:before="280"/>
      </w:pPr>
      <w:r>
        <w:rPr>
          <w:rFonts w:ascii="Times New Roman" w:cs="Times New Roman" w:eastAsia="Times New Roman" w:hAnsi="Times New Roman"/>
          <w:b/>
          <w:bCs/>
          <w:color w:val="1F3864"/>
          <w:sz w:val="24"/>
          <w:szCs w:val="24"/>
        </w:rPr>
        <w:t xml:space="preserve">7.3  Convergence Stages</w:t>
      </w:r>
    </w:p>
    <w:p>
      <w:pPr>
        <w:spacing w:after="180" w:line="276"/>
      </w:pPr>
      <w:r>
        <w:rPr>
          <w:rFonts w:ascii="Times New Roman" w:cs="Times New Roman" w:eastAsia="Times New Roman" w:hAnsi="Times New Roman"/>
          <w:color w:val="333333"/>
          <w:sz w:val="22"/>
          <w:szCs w:val="22"/>
        </w:rPr>
        <w:t xml:space="preserve">The approach to ground state follows a predictable trajectory when the feedback loop is closed: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400"/>
        <w:gridCol w:w="3360"/>
      </w:tblGrid>
      <w:tr>
        <w:tc>
          <w:tcPr>
            <w:tcW w:type="dxa" w:w="1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Stage</w:t>
            </w:r>
          </w:p>
        </w:tc>
        <w:tc>
          <w:tcPr>
            <w:tcW w:type="dxa" w:w="1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Cycle Range</w:t>
            </w:r>
          </w:p>
        </w:tc>
        <w:tc>
          <w:tcPr>
            <w:tcW w:type="dxa" w:w="3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Observable Properties</w:t>
            </w:r>
          </w:p>
        </w:tc>
        <w:tc>
          <w:tcPr>
            <w:tcW w:type="dxa" w:w="33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Governance Posture</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Baseline</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Cycle 1</w:t>
            </w:r>
          </w:p>
        </w:tc>
        <w:tc>
          <w:tcPr>
            <w:tcW w:type="dxa" w:w="3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Share table established; no change log (no prior cycle)</w:t>
            </w:r>
          </w:p>
        </w:tc>
        <w:tc>
          <w:tcPr>
            <w:tcW w:type="dxa" w:w="33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Establish declared weights; produce four artifacts</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Trajectory</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Cycles 2–3</w:t>
            </w:r>
          </w:p>
        </w:tc>
        <w:tc>
          <w:tcPr>
            <w:tcW w:type="dxa" w:w="3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First inter-cycle comparison; trajectory visible: converging, diverging, or stable</w:t>
            </w:r>
          </w:p>
        </w:tc>
        <w:tc>
          <w:tcPr>
            <w:tcW w:type="dxa" w:w="33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Classify changes as intentional or silent</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Q-characterisation</w:t>
            </w:r>
          </w:p>
        </w:tc>
        <w:tc>
          <w:tcPr>
            <w:tcW w:type="dxa" w:w="1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Cycles 4–6</w:t>
            </w:r>
          </w:p>
        </w:tc>
        <w:tc>
          <w:tcPr>
            <w:tcW w:type="dxa" w:w="3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Element characteristic periods identified; high-Q elements visible in leverage and cycle-over-cycle analysis</w:t>
            </w:r>
          </w:p>
        </w:tc>
        <w:tc>
          <w:tcPr>
            <w:tcW w:type="dxa" w:w="33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Phase-aware allocation; cross-cycle comparison before high-Q deprioritisation</w:t>
            </w:r>
          </w:p>
        </w:tc>
      </w:tr>
      <w:tr>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bCs/>
                <w:color w:val="333333"/>
                <w:sz w:val="18"/>
                <w:szCs w:val="18"/>
              </w:rPr>
              <w:t xml:space="preserve">Ground approach</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Cycles 7+</w:t>
            </w:r>
          </w:p>
        </w:tc>
        <w:tc>
          <w:tcPr>
            <w:tcW w:type="dxa" w:w="3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MDG declining; PROOF line stable; persistent silent drift triggering prompt correction</w:t>
            </w:r>
          </w:p>
        </w:tc>
        <w:tc>
          <w:tcPr>
            <w:tcW w:type="dxa" w:w="33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Self-correcting feedback; change log is primary governance reference</w:t>
            </w:r>
          </w:p>
        </w:tc>
      </w:tr>
    </w:tbl>
    <w:p>
      <w:pPr>
        <w:spacing w:after="100" w:line="276"/>
      </w:pPr>
      <w:r>
        <w:rPr>
          <w:rFonts w:ascii="Times New Roman" w:cs="Times New Roman" w:eastAsia="Times New Roman" w:hAnsi="Times New Roman"/>
          <w:b/>
          <w:bCs/>
          <w:i/>
          <w:iCs/>
          <w:color w:val="333333"/>
          <w:sz w:val="22"/>
          <w:szCs w:val="22"/>
        </w:rPr>
        <w:t xml:space="preserve">Table 4. </w:t>
      </w:r>
      <w:r>
        <w:rPr>
          <w:rFonts w:ascii="Times New Roman" w:cs="Times New Roman" w:eastAsia="Times New Roman" w:hAnsi="Times New Roman"/>
          <w:i/>
          <w:iCs/>
          <w:color w:val="333333"/>
          <w:sz w:val="22"/>
          <w:szCs w:val="22"/>
        </w:rPr>
        <w:t xml:space="preserve">Convergence stages toward the governance ground state.</w:t>
      </w:r>
    </w:p>
    <w:p>
      <w:pPr>
        <w:spacing w:after="60"/>
      </w:pPr>
    </w:p>
    <w:p>
      <w:pPr>
        <w:spacing w:after="180" w:line="276"/>
      </w:pPr>
      <w:r>
        <w:rPr>
          <w:rFonts w:ascii="Times New Roman" w:cs="Times New Roman" w:eastAsia="Times New Roman" w:hAnsi="Times New Roman"/>
          <w:color w:val="333333"/>
          <w:sz w:val="22"/>
          <w:szCs w:val="22"/>
        </w:rPr>
        <w:t xml:space="preserve">The convergence rate depends on the Q differential between portfolio elements. A portfolio with narrow Q range converges faster. A portfolio with wide Q range — elements whose characteristic periods span orders of magnitude — converges more slowly but reaches a more stable ground state, because the high-Q elements have been properly characterised and protected from snapshot-driven deprioritisation.</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8. Empirical Validation: Three-Domain Confirmation</w:t>
      </w:r>
    </w:p>
    <w:p>
      <w:pPr>
        <w:spacing w:after="180" w:line="276"/>
      </w:pPr>
      <w:r>
        <w:rPr>
          <w:rFonts w:ascii="Times New Roman" w:cs="Times New Roman" w:eastAsia="Times New Roman" w:hAnsi="Times New Roman"/>
          <w:color w:val="333333"/>
          <w:sz w:val="22"/>
          <w:szCs w:val="22"/>
        </w:rPr>
        <w:t xml:space="preserve">The domain-invariance claim (Proposition 7.1 in </w:t>
      </w:r>
      <w:r>
        <w:rPr>
          <w:rFonts w:ascii="Times New Roman" w:cs="Times New Roman" w:eastAsia="Times New Roman" w:hAnsi="Times New Roman"/>
          <w:color w:val="333333"/>
          <w:sz w:val="22"/>
          <w:szCs w:val="22"/>
        </w:rPr>
        <w:t xml:space="preserve">[8]</w:t>
      </w:r>
      <w:r>
        <w:rPr>
          <w:rFonts w:ascii="Times New Roman" w:cs="Times New Roman" w:eastAsia="Times New Roman" w:hAnsi="Times New Roman"/>
          <w:color w:val="333333"/>
          <w:sz w:val="22"/>
          <w:szCs w:val="22"/>
        </w:rPr>
        <w:t xml:space="preserve">) asserts that the diagnostic signatures produced by ratio state monitoring are properties of the unity constraint, not properties of any specific domain. Validation requires demonstrating that the same instrument, applied without modification, produces coherent and comparable results across systems with no structural overlap.</w:t>
      </w:r>
    </w:p>
    <w:p>
      <w:pPr>
        <w:spacing w:after="180" w:line="276"/>
      </w:pPr>
      <w:r>
        <w:rPr>
          <w:rFonts w:ascii="Times New Roman" w:cs="Times New Roman" w:eastAsia="Times New Roman" w:hAnsi="Times New Roman"/>
          <w:color w:val="333333"/>
          <w:sz w:val="22"/>
          <w:szCs w:val="22"/>
        </w:rPr>
        <w:t xml:space="preserve">Three systems have been tested: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00"/>
        <w:gridCol w:w="1300"/>
        <w:gridCol w:w="1500"/>
        <w:gridCol w:w="1860"/>
      </w:tblGrid>
      <w:tr>
        <w:tc>
          <w:tcPr>
            <w:tcW w:type="dxa" w:w="20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System</w:t>
            </w:r>
          </w:p>
        </w:tc>
        <w:tc>
          <w:tcPr>
            <w:tcW w:type="dxa" w:w="14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Domain</w:t>
            </w:r>
          </w:p>
        </w:tc>
        <w:tc>
          <w:tcPr>
            <w:tcW w:type="dxa" w:w="13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Budget Ceiling</w:t>
            </w:r>
          </w:p>
        </w:tc>
        <w:tc>
          <w:tcPr>
            <w:tcW w:type="dxa" w:w="13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Elements</w:t>
            </w:r>
          </w:p>
        </w:tc>
        <w:tc>
          <w:tcPr>
            <w:tcW w:type="dxa" w:w="15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center"/>
            </w:pPr>
            <w:r>
              <w:rPr>
                <w:rFonts w:ascii="Times New Roman" w:cs="Times New Roman" w:eastAsia="Times New Roman" w:hAnsi="Times New Roman"/>
                <w:b/>
                <w:bCs/>
                <w:color w:val="FFFFFF"/>
                <w:sz w:val="18"/>
                <w:szCs w:val="18"/>
              </w:rPr>
              <w:t xml:space="preserve">MDG</w:t>
            </w:r>
          </w:p>
        </w:tc>
        <w:tc>
          <w:tcPr>
            <w:tcW w:type="dxa" w:w="18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Highest-Q Element</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System A: Sourdough</w:t>
            </w:r>
          </w:p>
        </w:tc>
        <w:tc>
          <w:tcPr>
            <w:tcW w:type="dxa" w:w="14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Artisanal bread</w:t>
            </w:r>
          </w:p>
        </w:tc>
        <w:tc>
          <w:tcPr>
            <w:tcW w:type="dxa" w:w="13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1,000 g</w:t>
            </w:r>
          </w:p>
        </w:tc>
        <w:tc>
          <w:tcPr>
            <w:tcW w:type="dxa" w:w="13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5</w:t>
            </w:r>
          </w:p>
        </w:tc>
        <w:tc>
          <w:tcPr>
            <w:tcW w:type="dxa" w:w="15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1.4 pp (near ground)</w:t>
            </w:r>
          </w:p>
        </w:tc>
        <w:tc>
          <w:tcPr>
            <w:tcW w:type="dxa" w:w="18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Yeast (Q ≈ 500)</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System B: Ramsar Croatia</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Ecological portfolio</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93,000 ha</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5</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4.8 pp (action window)</w:t>
            </w:r>
          </w:p>
        </w:tc>
        <w:tc>
          <w:tcPr>
            <w:tcW w:type="dxa" w:w="18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Crna Mlaka (Q ≈ 6.7)</w:t>
            </w:r>
          </w:p>
        </w:tc>
      </w:tr>
      <w:tr>
        <w:tc>
          <w:tcPr>
            <w:tcW w:type="dxa" w:w="2000"/>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System C: Software retrieval</w:t>
            </w:r>
          </w:p>
        </w:tc>
        <w:tc>
          <w:tcPr>
            <w:tcW w:type="dxa" w:w="1400"/>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AI pipeline</w:t>
            </w:r>
          </w:p>
        </w:tc>
        <w:tc>
          <w:tcPr>
            <w:tcW w:type="dxa" w:w="1300"/>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Query volume</w:t>
            </w:r>
          </w:p>
        </w:tc>
        <w:tc>
          <w:tcPr>
            <w:tcW w:type="dxa" w:w="1300"/>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color w:val="333333"/>
                <w:sz w:val="18"/>
                <w:szCs w:val="18"/>
              </w:rPr>
              <w:t xml:space="preserve">4</w:t>
            </w:r>
          </w:p>
        </w:tc>
        <w:tc>
          <w:tcPr>
            <w:tcW w:type="dxa" w:w="1500"/>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10.0 pp (active drift)</w:t>
            </w:r>
          </w:p>
        </w:tc>
        <w:tc>
          <w:tcPr>
            <w:tcW w:type="dxa" w:w="1860"/>
            <w:tcBorders>
              <w:top w:val="single" w:color="BBBBBB" w:sz="1"/>
              <w:left w:val="single" w:color="BBBBBB" w:sz="1"/>
              <w:bottom w:val="single" w:color="BBBBBB" w:sz="1"/>
              <w:right w:val="single" w:color="BBBBBB" w:sz="1"/>
            </w:tcBorders>
            <w:shd w:fill="E2EFDA"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Archive (Q ≈ 5)</w:t>
            </w:r>
          </w:p>
        </w:tc>
      </w:tr>
    </w:tbl>
    <w:p>
      <w:pPr>
        <w:spacing w:after="100" w:line="276"/>
      </w:pPr>
      <w:r>
        <w:rPr>
          <w:rFonts w:ascii="Times New Roman" w:cs="Times New Roman" w:eastAsia="Times New Roman" w:hAnsi="Times New Roman"/>
          <w:b/>
          <w:bCs/>
          <w:i/>
          <w:iCs/>
          <w:color w:val="333333"/>
          <w:sz w:val="22"/>
          <w:szCs w:val="22"/>
        </w:rPr>
        <w:t xml:space="preserve">Table 5. </w:t>
      </w:r>
      <w:r>
        <w:rPr>
          <w:rFonts w:ascii="Times New Roman" w:cs="Times New Roman" w:eastAsia="Times New Roman" w:hAnsi="Times New Roman"/>
          <w:i/>
          <w:iCs/>
          <w:color w:val="333333"/>
          <w:sz w:val="22"/>
          <w:szCs w:val="22"/>
        </w:rPr>
        <w:t xml:space="preserve">Three-domain confirmation. The same instrument, without modification, produces comparable governance diagnostics across systems with no structural overlap.</w:t>
      </w:r>
    </w:p>
    <w:p>
      <w:pPr>
        <w:spacing w:after="60"/>
      </w:pPr>
    </w:p>
    <w:p>
      <w:pPr>
        <w:spacing w:after="180" w:line="276"/>
      </w:pPr>
      <w:r>
        <w:rPr>
          <w:rFonts w:ascii="Times New Roman" w:cs="Times New Roman" w:eastAsia="Times New Roman" w:hAnsi="Times New Roman"/>
          <w:color w:val="333333"/>
          <w:sz w:val="22"/>
          <w:szCs w:val="22"/>
        </w:rPr>
        <w:t xml:space="preserve">The three systems share no domain overlap. System A operates on grams and hours. System B operates on hectares and years. System C operates on query volumes and days. Yet all three produce the same diagnostic structure: PROOF line, leverage distribution, Q-factor hierarchy, MDG classification, and drift trajectory. The unity constraint is the only common element, which is consistent with the claim that the diagnostic signatures are properties of the constraint rather than of any domain.</w:t>
      </w:r>
    </w:p>
    <w:p>
      <w:pPr>
        <w:spacing w:after="180" w:line="276"/>
      </w:pPr>
      <w:r>
        <w:rPr>
          <w:rFonts w:ascii="Times New Roman" w:cs="Times New Roman" w:eastAsia="Times New Roman" w:hAnsi="Times New Roman"/>
          <w:color w:val="333333"/>
          <w:sz w:val="22"/>
          <w:szCs w:val="22"/>
        </w:rPr>
        <w:t xml:space="preserve">Additionally, the companion paper </w:t>
      </w:r>
      <w:r>
        <w:rPr>
          <w:rFonts w:ascii="Times New Roman" w:cs="Times New Roman" w:eastAsia="Times New Roman" w:hAnsi="Times New Roman"/>
          <w:color w:val="333333"/>
          <w:sz w:val="22"/>
          <w:szCs w:val="22"/>
        </w:rPr>
        <w:t xml:space="preserve">[3]</w:t>
      </w:r>
      <w:r>
        <w:rPr>
          <w:rFonts w:ascii="Times New Roman" w:cs="Times New Roman" w:eastAsia="Times New Roman" w:hAnsi="Times New Roman"/>
          <w:color w:val="333333"/>
          <w:sz w:val="22"/>
          <w:szCs w:val="22"/>
        </w:rPr>
        <w:t xml:space="preserve"> reports external validation of the HUF PreParser against ESA Planck mission benchmarks (exact date correspondence at OD 975 = 14 January 2012) and City of Toronto King Street evaluation benchmarks (5/5 directional match) </w:t>
      </w:r>
      <w:r>
        <w:rPr>
          <w:rFonts w:ascii="Times New Roman" w:cs="Times New Roman" w:eastAsia="Times New Roman" w:hAnsi="Times New Roman"/>
          <w:color w:val="333333"/>
          <w:sz w:val="22"/>
          <w:szCs w:val="22"/>
        </w:rPr>
        <w:t xml:space="preserve">[9]</w:t>
      </w:r>
      <w:r>
        <w:rPr>
          <w:rFonts w:ascii="Times New Roman" w:cs="Times New Roman" w:eastAsia="Times New Roman" w:hAnsi="Times New Roman"/>
          <w:color w:val="333333"/>
          <w:sz w:val="22"/>
          <w:szCs w:val="22"/>
        </w:rPr>
        <w:t xml:space="preserve">[10]</w:t>
      </w:r>
      <w:r>
        <w:rPr>
          <w:rFonts w:ascii="Times New Roman" w:cs="Times New Roman" w:eastAsia="Times New Roman" w:hAnsi="Times New Roman"/>
          <w:color w:val="333333"/>
          <w:sz w:val="22"/>
          <w:szCs w:val="22"/>
        </w:rPr>
        <w:t xml:space="preserve">, providing independent institutional confirmation that the extracted governance fingerprint captures genuine structure.</w:t>
      </w:r>
    </w:p>
    <w:p>
      <w:pPr>
        <w:spacing w:after="60"/>
      </w:pPr>
    </w:p>
    <w:p>
      <w:pPr>
        <w:pStyle w:val="Heading1"/>
        <w:spacing w:after="200" w:before="360"/>
      </w:pPr>
      <w:r>
        <w:rPr>
          <w:rFonts w:ascii="Times New Roman" w:cs="Times New Roman" w:eastAsia="Times New Roman" w:hAnsi="Times New Roman"/>
          <w:b/>
          <w:bCs/>
          <w:color w:val="1F3864"/>
          <w:sz w:val="28"/>
          <w:szCs w:val="28"/>
        </w:rPr>
        <w:t xml:space="preserve">9. Relationship to Ostrom’s Design Principles</w:t>
      </w:r>
    </w:p>
    <w:p>
      <w:pPr>
        <w:spacing w:after="180" w:line="276"/>
      </w:pPr>
      <w:r>
        <w:rPr>
          <w:rFonts w:ascii="Times New Roman" w:cs="Times New Roman" w:eastAsia="Times New Roman" w:hAnsi="Times New Roman"/>
          <w:color w:val="333333"/>
          <w:sz w:val="22"/>
          <w:szCs w:val="22"/>
        </w:rPr>
        <w:t xml:space="preserve">Ostrom </w:t>
      </w:r>
      <w:r>
        <w:rPr>
          <w:rFonts w:ascii="Times New Roman" w:cs="Times New Roman" w:eastAsia="Times New Roman" w:hAnsi="Times New Roman"/>
          <w:color w:val="333333"/>
          <w:sz w:val="22"/>
          <w:szCs w:val="22"/>
        </w:rPr>
        <w:t xml:space="preserve">[4]</w:t>
      </w:r>
      <w:r>
        <w:rPr>
          <w:rFonts w:ascii="Times New Roman" w:cs="Times New Roman" w:eastAsia="Times New Roman" w:hAnsi="Times New Roman"/>
          <w:color w:val="333333"/>
          <w:sz w:val="22"/>
          <w:szCs w:val="22"/>
        </w:rPr>
        <w:t xml:space="preserve"> identified eight design principles characterising self-governing commons institutions. Ratio state monitoring does not replace these principles; it provides a concrete instrument for operationalising several of them. Table 6 maps the four artifacts to the relevant design principles.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Ostrom Design Principle</w:t>
            </w:r>
          </w:p>
        </w:tc>
        <w:tc>
          <w:tcPr>
            <w:tcW w:type="dxa" w:w="3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MC-4 Instrument</w:t>
            </w:r>
          </w:p>
        </w:tc>
        <w:tc>
          <w:tcPr>
            <w:tcW w:type="dxa" w:w="29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vAlign w:val="center"/>
          </w:tcPr>
          <w:p>
            <w:pPr>
              <w:jc w:val="left"/>
            </w:pPr>
            <w:r>
              <w:rPr>
                <w:rFonts w:ascii="Times New Roman" w:cs="Times New Roman" w:eastAsia="Times New Roman" w:hAnsi="Times New Roman"/>
                <w:b/>
                <w:bCs/>
                <w:color w:val="FFFFFF"/>
                <w:sz w:val="18"/>
                <w:szCs w:val="18"/>
              </w:rPr>
              <w:t xml:space="preserve">Mechanism</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DP1: Clearly defined boundaries</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Portfolio share table (A-1)</w:t>
            </w:r>
          </w:p>
        </w:tc>
        <w:tc>
          <w:tcPr>
            <w:tcW w:type="dxa" w:w="29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Budget ceiling and element set define the boundary; shares are the allocation within it</w:t>
            </w:r>
          </w:p>
        </w:tc>
      </w:tr>
      <w:tr>
        <w:tc>
          <w:tcPr>
            <w:tcW w:type="dxa" w:w="3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DP2: Congruence between provision and appropriation</w:t>
            </w:r>
          </w:p>
        </w:tc>
        <w:tc>
          <w:tcPr>
            <w:tcW w:type="dxa" w:w="3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Declared weights vs. observed shares</w:t>
            </w:r>
          </w:p>
        </w:tc>
        <w:tc>
          <w:tcPr>
            <w:tcW w:type="dxa" w:w="29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Drift gap measures the congruence between stated priorities and actual allocation</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DP4: Monitoring</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Portfolio change log (A-3)</w:t>
            </w:r>
          </w:p>
        </w:tc>
        <w:tc>
          <w:tcPr>
            <w:tcW w:type="dxa" w:w="29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Cross-cycle tracking with intentional/silent classification</w:t>
            </w:r>
          </w:p>
        </w:tc>
      </w:tr>
      <w:tr>
        <w:tc>
          <w:tcPr>
            <w:tcW w:type="dxa" w:w="3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DP5: Graduated sanctions</w:t>
            </w:r>
          </w:p>
        </w:tc>
        <w:tc>
          <w:tcPr>
            <w:tcW w:type="dxa" w:w="3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MDG thresholds</w:t>
            </w:r>
          </w:p>
        </w:tc>
        <w:tc>
          <w:tcPr>
            <w:tcW w:type="dxa" w:w="29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Ground state / action window / active drift thresholds provide graduated response triggers</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DP6: Conflict resolution</w:t>
            </w:r>
          </w:p>
        </w:tc>
        <w:tc>
          <w:tcPr>
            <w:tcW w:type="dxa" w:w="320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Trace report (A-2)</w:t>
            </w:r>
          </w:p>
        </w:tc>
        <w:tc>
          <w:tcPr>
            <w:tcW w:type="dxa" w:w="2960"/>
            <w:tcBorders>
              <w:top w:val="single" w:color="BBBBBB" w:sz="1"/>
              <w:left w:val="single" w:color="BBBBBB" w:sz="1"/>
              <w:bottom w:val="single" w:color="BBBBBB" w:sz="1"/>
              <w:right w:val="single" w:color="BBBBBB" w:sz="1"/>
            </w:tcBorders>
            <w:shd w:fill="F2F2F2" w:val="clear"/>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Auditable governance history enables evidence-based dispute resolution</w:t>
            </w:r>
          </w:p>
        </w:tc>
      </w:tr>
      <w:tr>
        <w:tc>
          <w:tcPr>
            <w:tcW w:type="dxa" w:w="3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DP7: Recognised rights to organise</w:t>
            </w:r>
          </w:p>
        </w:tc>
        <w:tc>
          <w:tcPr>
            <w:tcW w:type="dxa" w:w="320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Coverage record (A-4)</w:t>
            </w:r>
          </w:p>
        </w:tc>
        <w:tc>
          <w:tcPr>
            <w:tcW w:type="dxa" w:w="2960"/>
            <w:tcBorders>
              <w:top w:val="single" w:color="BBBBBB" w:sz="1"/>
              <w:left w:val="single" w:color="BBBBBB" w:sz="1"/>
              <w:bottom w:val="single" w:color="BBBBBB" w:sz="1"/>
              <w:right w:val="single" w:color="BBBBBB" w:sz="1"/>
            </w:tcBorders>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color w:val="333333"/>
                <w:sz w:val="18"/>
                <w:szCs w:val="18"/>
              </w:rPr>
              <w:t xml:space="preserve">Deprioritisation must be declared and justified, protecting minority elements</w:t>
            </w:r>
          </w:p>
        </w:tc>
      </w:tr>
    </w:tbl>
    <w:p>
      <w:pPr>
        <w:spacing w:after="100" w:line="276"/>
      </w:pPr>
      <w:r>
        <w:rPr>
          <w:rFonts w:ascii="Times New Roman" w:cs="Times New Roman" w:eastAsia="Times New Roman" w:hAnsi="Times New Roman"/>
          <w:b/>
          <w:bCs/>
          <w:i/>
          <w:iCs/>
          <w:color w:val="333333"/>
          <w:sz w:val="22"/>
          <w:szCs w:val="22"/>
        </w:rPr>
        <w:t xml:space="preserve">Table 6. </w:t>
      </w:r>
      <w:r>
        <w:rPr>
          <w:rFonts w:ascii="Times New Roman" w:cs="Times New Roman" w:eastAsia="Times New Roman" w:hAnsi="Times New Roman"/>
          <w:i/>
          <w:iCs/>
          <w:color w:val="333333"/>
          <w:sz w:val="22"/>
          <w:szCs w:val="22"/>
        </w:rPr>
        <w:t xml:space="preserve">Mapping of ratio state monitoring artifacts to Ostrom’s design principles [4].</w:t>
      </w:r>
    </w:p>
    <w:p>
      <w:pPr>
        <w:spacing w:after="60"/>
      </w:pPr>
    </w:p>
    <w:p>
      <w:pPr>
        <w:spacing w:after="180" w:line="276"/>
      </w:pPr>
      <w:r>
        <w:rPr>
          <w:rFonts w:ascii="Times New Roman" w:cs="Times New Roman" w:eastAsia="Times New Roman" w:hAnsi="Times New Roman"/>
          <w:color w:val="333333"/>
          <w:sz w:val="22"/>
          <w:szCs w:val="22"/>
        </w:rPr>
        <w:t xml:space="preserve">Ostrom’s framework has always known that monitoring is necessary. Ratio state monitoring provides the specific instrument — the portfolio change log with intentional/silent classification — that makes Design Principle 4 operationally effective for detecting the slow structural drift that precedes threshold events. The instrument does not audit compliance with declared intent; it makes declared intent </w:t>
      </w:r>
      <w:r>
        <w:rPr>
          <w:rFonts w:ascii="Times New Roman" w:cs="Times New Roman" w:eastAsia="Times New Roman" w:hAnsi="Times New Roman"/>
          <w:i/>
          <w:iCs/>
          <w:color w:val="333333"/>
          <w:sz w:val="22"/>
          <w:szCs w:val="22"/>
        </w:rPr>
        <w:t xml:space="preserve">auditable</w:t>
      </w:r>
      <w:r>
        <w:rPr>
          <w:rFonts w:ascii="Times New Roman" w:cs="Times New Roman" w:eastAsia="Times New Roman" w:hAnsi="Times New Roman"/>
          <w:color w:val="333333"/>
          <w:sz w:val="22"/>
          <w:szCs w:val="22"/>
        </w:rPr>
        <w:t xml:space="preserve">.</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10. Discussion</w:t>
      </w:r>
    </w:p>
    <w:p>
      <w:pPr>
        <w:pStyle w:val="Heading2"/>
        <w:spacing w:after="160" w:before="280"/>
      </w:pPr>
      <w:r>
        <w:rPr>
          <w:rFonts w:ascii="Times New Roman" w:cs="Times New Roman" w:eastAsia="Times New Roman" w:hAnsi="Times New Roman"/>
          <w:b/>
          <w:bCs/>
          <w:color w:val="1F3864"/>
          <w:sz w:val="24"/>
          <w:szCs w:val="24"/>
        </w:rPr>
        <w:t xml:space="preserve">10.1  What the Fourth Category Adds</w:t>
      </w:r>
    </w:p>
    <w:p>
      <w:pPr>
        <w:spacing w:after="180" w:line="276"/>
      </w:pPr>
      <w:r>
        <w:rPr>
          <w:rFonts w:ascii="Times New Roman" w:cs="Times New Roman" w:eastAsia="Times New Roman" w:hAnsi="Times New Roman"/>
          <w:color w:val="333333"/>
          <w:sz w:val="22"/>
          <w:szCs w:val="22"/>
        </w:rPr>
        <w:t xml:space="preserve">The intentional/silent distinction is the core contribution. Neither Markowitz portfolio theory [11] (which optimises allocation) nor Shannon entropy [12] (which quantifies uncertainty) provides a mechanism for classifying allocation changes as decided or undecided. The portfolio change log is the instrument that enables this classification, and it is this instrument that makes MC-4 structurally distinct from the three established categories.</w:t>
      </w:r>
    </w:p>
    <w:p>
      <w:pPr>
        <w:spacing w:after="180" w:line="276"/>
      </w:pPr>
      <w:r>
        <w:rPr>
          <w:rFonts w:ascii="Times New Roman" w:cs="Times New Roman" w:eastAsia="Times New Roman" w:hAnsi="Times New Roman"/>
          <w:color w:val="333333"/>
          <w:sz w:val="22"/>
          <w:szCs w:val="22"/>
        </w:rPr>
        <w:t xml:space="preserve">The self-referential property deserves careful statement. The system’s own declared priorities are the reference, which invites the circularity objection: can a system evaluate itself against its own standard? The answer is that the instrument does not evaluate. It makes the gap between declaration and outcome traceable. The standard belongs to the institution. The traceability belongs to the instrument. These are different functions, and their separation is what prevents circularity.</w:t>
      </w:r>
    </w:p>
    <w:p>
      <w:pPr>
        <w:pStyle w:val="Heading2"/>
        <w:spacing w:after="160" w:before="280"/>
      </w:pPr>
      <w:r>
        <w:rPr>
          <w:rFonts w:ascii="Times New Roman" w:cs="Times New Roman" w:eastAsia="Times New Roman" w:hAnsi="Times New Roman"/>
          <w:b/>
          <w:bCs/>
          <w:color w:val="1F3864"/>
          <w:sz w:val="24"/>
          <w:szCs w:val="24"/>
        </w:rPr>
        <w:t xml:space="preserve">10.2  Institutional Memory</w:t>
      </w:r>
    </w:p>
    <w:p>
      <w:pPr>
        <w:spacing w:after="180" w:line="276"/>
      </w:pPr>
      <w:r>
        <w:rPr>
          <w:rFonts w:ascii="Times New Roman" w:cs="Times New Roman" w:eastAsia="Times New Roman" w:hAnsi="Times New Roman"/>
          <w:color w:val="333333"/>
          <w:sz w:val="22"/>
          <w:szCs w:val="22"/>
        </w:rPr>
        <w:t xml:space="preserve">Proposition 7.5 (Institutional Memory Theorem) </w:t>
      </w:r>
      <w:r>
        <w:rPr>
          <w:rFonts w:ascii="Times New Roman" w:cs="Times New Roman" w:eastAsia="Times New Roman" w:hAnsi="Times New Roman"/>
          <w:color w:val="333333"/>
          <w:sz w:val="22"/>
          <w:szCs w:val="22"/>
        </w:rPr>
        <w:t xml:space="preserve">[8]</w:t>
      </w:r>
      <w:r>
        <w:rPr>
          <w:rFonts w:ascii="Times New Roman" w:cs="Times New Roman" w:eastAsia="Times New Roman" w:hAnsi="Times New Roman"/>
          <w:color w:val="333333"/>
          <w:sz w:val="22"/>
          <w:szCs w:val="22"/>
        </w:rPr>
        <w:t xml:space="preserve">: a governance system operating under ratio state monitoring accumulates institutional memory at the rate of one portfolio state per reporting cycle, permanently and without additional effort. After n cycles, the institution holds an n-period governance trajectory that is independent of personnel turnover, organisational restructuring, or administrative disruption.</w:t>
      </w:r>
    </w:p>
    <w:p>
      <w:pPr>
        <w:spacing w:after="180" w:line="276"/>
      </w:pPr>
      <w:r>
        <w:rPr>
          <w:rFonts w:ascii="Times New Roman" w:cs="Times New Roman" w:eastAsia="Times New Roman" w:hAnsi="Times New Roman"/>
          <w:color w:val="333333"/>
          <w:sz w:val="22"/>
          <w:szCs w:val="22"/>
        </w:rPr>
        <w:t xml:space="preserve">The value of this memory is non-linear with cycle count. The first two or three cycles provide baseline and initial trajectory. By cycle six or seven, the portfolio trajectory is the most informative governance document the institution possesses. This is a structural byproduct of consistent application, not an additional cost.</w:t>
      </w:r>
    </w:p>
    <w:p>
      <w:pPr>
        <w:pStyle w:val="Heading2"/>
        <w:spacing w:after="160" w:before="280"/>
      </w:pPr>
      <w:r>
        <w:rPr>
          <w:rFonts w:ascii="Times New Roman" w:cs="Times New Roman" w:eastAsia="Times New Roman" w:hAnsi="Times New Roman"/>
          <w:b/>
          <w:bCs/>
          <w:color w:val="1F3864"/>
          <w:sz w:val="24"/>
          <w:szCs w:val="24"/>
        </w:rPr>
        <w:t xml:space="preserve">10.3  Limitations</w:t>
      </w:r>
    </w:p>
    <w:p>
      <w:pPr>
        <w:spacing w:after="180" w:line="276"/>
      </w:pPr>
      <w:r>
        <w:rPr>
          <w:rFonts w:ascii="Times New Roman" w:cs="Times New Roman" w:eastAsia="Times New Roman" w:hAnsi="Times New Roman"/>
          <w:color w:val="333333"/>
          <w:sz w:val="22"/>
          <w:szCs w:val="22"/>
        </w:rPr>
        <w:t xml:space="preserve">Several limitations should be noted. First, the instrument can only read what is declared. If a governance actor systematically misreports allocation, the portfolio change log records the declared fiction. MC-4 is a coherence detector, not a lie detector. Second, the instrument’s temporal resolution is bounded by the reporting cycle. Changes that begin and end within a single cycle are invisible. Third, the instrument classifies changes but does not attribute causation. Determining why silent drift occurred requires qualitative investigation that the instrument is not designed to perform.</w:t>
      </w:r>
    </w:p>
    <w:p>
      <w:pPr>
        <w:spacing w:after="180" w:line="276"/>
      </w:pPr>
      <w:r>
        <w:rPr>
          <w:rFonts w:ascii="Times New Roman" w:cs="Times New Roman" w:eastAsia="Times New Roman" w:hAnsi="Times New Roman"/>
          <w:color w:val="333333"/>
          <w:sz w:val="22"/>
          <w:szCs w:val="22"/>
        </w:rPr>
        <w:t xml:space="preserve">Fourth, the Q = 4 quartile partition used in the companion paper’s PreParser is one specific operationalisation. Other partitions (terciles, quintiles, domain-informed boundaries) may be more appropriate for specific applications. Fifth, the convergence theorem assumes closed feedback — that the governance actor responds to the change log. In practice, non-response is common, and the instrument cannot compel action; it can only make non-response visible and attributable.</w:t>
      </w:r>
    </w:p>
    <w:p>
      <w:pPr>
        <w:pStyle w:val="Heading2"/>
        <w:spacing w:after="160" w:before="280"/>
      </w:pPr>
      <w:r>
        <w:rPr>
          <w:rFonts w:ascii="Times New Roman" w:cs="Times New Roman" w:eastAsia="Times New Roman" w:hAnsi="Times New Roman"/>
          <w:b/>
          <w:bCs/>
          <w:color w:val="1F3864"/>
          <w:sz w:val="24"/>
          <w:szCs w:val="24"/>
        </w:rPr>
        <w:t xml:space="preserve">10.4  Relationship to the Companion Paper</w:t>
      </w:r>
    </w:p>
    <w:p>
      <w:pPr>
        <w:spacing w:after="180" w:line="276"/>
      </w:pPr>
      <w:r>
        <w:rPr>
          <w:rFonts w:ascii="Times New Roman" w:cs="Times New Roman" w:eastAsia="Times New Roman" w:hAnsi="Times New Roman"/>
          <w:color w:val="333333"/>
          <w:sz w:val="22"/>
          <w:szCs w:val="22"/>
        </w:rPr>
        <w:t xml:space="preserve">This paper and its companion </w:t>
      </w:r>
      <w:r>
        <w:rPr>
          <w:rFonts w:ascii="Times New Roman" w:cs="Times New Roman" w:eastAsia="Times New Roman" w:hAnsi="Times New Roman"/>
          <w:color w:val="333333"/>
          <w:sz w:val="22"/>
          <w:szCs w:val="22"/>
        </w:rPr>
        <w:t xml:space="preserve">[3]</w:t>
      </w:r>
      <w:r>
        <w:rPr>
          <w:rFonts w:ascii="Times New Roman" w:cs="Times New Roman" w:eastAsia="Times New Roman" w:hAnsi="Times New Roman"/>
          <w:color w:val="333333"/>
          <w:sz w:val="22"/>
          <w:szCs w:val="22"/>
        </w:rPr>
        <w:t xml:space="preserve"> address different aspects of the same framework. The companion paper characterises </w:t>
      </w:r>
      <w:r>
        <w:rPr>
          <w:rFonts w:ascii="Times New Roman" w:cs="Times New Roman" w:eastAsia="Times New Roman" w:hAnsi="Times New Roman"/>
          <w:i/>
          <w:iCs/>
          <w:color w:val="333333"/>
          <w:sz w:val="22"/>
          <w:szCs w:val="22"/>
        </w:rPr>
        <w:t xml:space="preserve">what</w:t>
      </w:r>
      <w:r>
        <w:rPr>
          <w:rFonts w:ascii="Times New Roman" w:cs="Times New Roman" w:eastAsia="Times New Roman" w:hAnsi="Times New Roman"/>
          <w:color w:val="333333"/>
          <w:sz w:val="22"/>
          <w:szCs w:val="22"/>
        </w:rPr>
        <w:t xml:space="preserve"> the PreParser extracts: a governance fingerprint on the probability simplex, at a measured reduction ratio of 6,357,738 : 1, situated within a four-level hierarchy of information reduction. The present paper characterises </w:t>
      </w:r>
      <w:r>
        <w:rPr>
          <w:rFonts w:ascii="Times New Roman" w:cs="Times New Roman" w:eastAsia="Times New Roman" w:hAnsi="Times New Roman"/>
          <w:i/>
          <w:iCs/>
          <w:color w:val="333333"/>
          <w:sz w:val="22"/>
          <w:szCs w:val="22"/>
        </w:rPr>
        <w:t xml:space="preserve">how</w:t>
      </w:r>
      <w:r>
        <w:rPr>
          <w:rFonts w:ascii="Times New Roman" w:cs="Times New Roman" w:eastAsia="Times New Roman" w:hAnsi="Times New Roman"/>
          <w:color w:val="333333"/>
          <w:sz w:val="22"/>
          <w:szCs w:val="22"/>
        </w:rPr>
        <w:t xml:space="preserve"> the observation is performed: through a degenerate state observer that requires no system model, detects six failure modes invisible to existing instruments, and produces a convergent feedback structure when the loop is closed.</w:t>
      </w:r>
    </w:p>
    <w:p>
      <w:pPr>
        <w:spacing w:after="180" w:line="276"/>
      </w:pPr>
      <w:r>
        <w:rPr>
          <w:rFonts w:ascii="Times New Roman" w:cs="Times New Roman" w:eastAsia="Times New Roman" w:hAnsi="Times New Roman"/>
          <w:color w:val="333333"/>
          <w:sz w:val="22"/>
          <w:szCs w:val="22"/>
        </w:rPr>
        <w:t xml:space="preserve">Together, the two papers describe a single system from complementary perspectives: information reduction and governance observation. The unity constraint (Σρᵢ = 1) is the common foundation.</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11. Conclusion</w:t>
      </w:r>
    </w:p>
    <w:p>
      <w:pPr>
        <w:spacing w:after="180" w:line="276"/>
      </w:pPr>
      <w:r>
        <w:rPr>
          <w:rFonts w:ascii="Times New Roman" w:cs="Times New Roman" w:eastAsia="Times New Roman" w:hAnsi="Times New Roman"/>
          <w:color w:val="333333"/>
          <w:sz w:val="22"/>
          <w:szCs w:val="22"/>
        </w:rPr>
        <w:t xml:space="preserve">This paper has described a fourth monitoring category — ratio state monitoring — that fills a structural gap in the established monitoring taxonomy. The category is distinguished by its self-referential property (the system’s own declared priorities are the reference), its model-free state observation (the unity constraint makes the ratio state fully observable from declared outputs), and its primary output (the classification of allocation changes as intentional or silent).</w:t>
      </w:r>
    </w:p>
    <w:p>
      <w:pPr>
        <w:spacing w:after="180" w:line="276"/>
      </w:pPr>
      <w:r>
        <w:rPr>
          <w:rFonts w:ascii="Times New Roman" w:cs="Times New Roman" w:eastAsia="Times New Roman" w:hAnsi="Times New Roman"/>
          <w:color w:val="333333"/>
          <w:sz w:val="22"/>
          <w:szCs w:val="22"/>
        </w:rPr>
        <w:t xml:space="preserve">The formalization as a degenerate state observer on the probability simplex provides a rigorous foundation for the instrument’s properties: zero estimation error without a system model, drift quantification via the Aitchison distance, and convergence under closed feedback with operator control guarantees. The six failure modes — ratio blindness, silent reweighting, snapshot error, concentration trap, fragmentation spiral, and orphan element — are structurally invisible to passive, mandated, and question-driven monitoring, and their detection requires the intentional/silent distinction that MC-4 provides.</w:t>
      </w:r>
    </w:p>
    <w:p>
      <w:pPr>
        <w:spacing w:after="180" w:line="276"/>
      </w:pPr>
      <w:r>
        <w:rPr>
          <w:rFonts w:ascii="Times New Roman" w:cs="Times New Roman" w:eastAsia="Times New Roman" w:hAnsi="Times New Roman"/>
          <w:color w:val="333333"/>
          <w:sz w:val="22"/>
          <w:szCs w:val="22"/>
        </w:rPr>
        <w:t xml:space="preserve">Three-domain empirical confirmation, external validation against institutional benchmarks, and the mapping to Ostrom’s design principles suggest that ratio state monitoring addresses a genuine gap in governance practice. The instrument does not replace existing monitoring categories. It adds a capability that none of them possess: the ability to detect, classify, and make traceable the slow structural redistribution of institutional attention that precedes threshold events by years.</w:t>
      </w:r>
    </w:p>
    <w:p>
      <w:pPr>
        <w:spacing w:after="180" w:line="276"/>
      </w:pPr>
      <w:r>
        <w:rPr>
          <w:rFonts w:ascii="Times New Roman" w:cs="Times New Roman" w:eastAsia="Times New Roman" w:hAnsi="Times New Roman"/>
          <w:color w:val="333333"/>
          <w:sz w:val="22"/>
          <w:szCs w:val="22"/>
        </w:rPr>
        <w:t xml:space="preserve">Whether the approach generalises beyond the ten systems tested — and in particular whether the Q-factor framework provides reliable guidance for governance decisions in domains with characteristic periods spanning orders of magnitude — are questions that require further empirical investigation. What the present work establishes is that the category exists, that it is formally grounded, and that it is distinct from the three that preceded it.</w:t>
      </w:r>
    </w:p>
    <w:p>
      <w:pPr>
        <w:spacing w:after="60"/>
      </w:pPr>
    </w:p>
    <w:p>
      <w:r>
        <w:br w:type="page"/>
      </w:r>
    </w:p>
    <w:p>
      <w:pPr>
        <w:pStyle w:val="Heading1"/>
        <w:spacing w:after="200" w:before="360"/>
      </w:pPr>
      <w:r>
        <w:rPr>
          <w:rFonts w:ascii="Times New Roman" w:cs="Times New Roman" w:eastAsia="Times New Roman" w:hAnsi="Times New Roman"/>
          <w:b/>
          <w:bCs/>
          <w:color w:val="1F3864"/>
          <w:sz w:val="28"/>
          <w:szCs w:val="28"/>
        </w:rPr>
        <w:t xml:space="preserve">References</w:t>
      </w:r>
    </w:p>
    <w:p>
      <w:pPr>
        <w:spacing w:after="100" w:line="276"/>
        <w:ind w:left="480" w:hanging="480"/>
      </w:pPr>
      <w:r>
        <w:rPr>
          <w:rFonts w:ascii="Times New Roman" w:cs="Times New Roman" w:eastAsia="Times New Roman" w:hAnsi="Times New Roman"/>
          <w:b/>
          <w:bCs/>
          <w:color w:val="333333"/>
          <w:sz w:val="22"/>
          <w:szCs w:val="22"/>
        </w:rPr>
        <w:t xml:space="preserve">[1]  </w:t>
      </w:r>
      <w:r>
        <w:rPr>
          <w:rFonts w:ascii="Times New Roman" w:cs="Times New Roman" w:eastAsia="Times New Roman" w:hAnsi="Times New Roman"/>
          <w:color w:val="333333"/>
          <w:sz w:val="22"/>
          <w:szCs w:val="22"/>
        </w:rPr>
        <w:t xml:space="preserve">Lindenmayer, D. B. and Likens, G. E. (2010). Effective Ecological Monitoring. Collingwood, VIC: CSIRO Publishing.</w:t>
      </w:r>
    </w:p>
    <w:p>
      <w:pPr>
        <w:spacing w:after="100" w:line="276"/>
        <w:ind w:left="480" w:hanging="480"/>
      </w:pPr>
      <w:r>
        <w:rPr>
          <w:rFonts w:ascii="Times New Roman" w:cs="Times New Roman" w:eastAsia="Times New Roman" w:hAnsi="Times New Roman"/>
          <w:b/>
          <w:bCs/>
          <w:color w:val="333333"/>
          <w:sz w:val="22"/>
          <w:szCs w:val="22"/>
        </w:rPr>
        <w:t xml:space="preserve">[2]  </w:t>
      </w:r>
      <w:r>
        <w:rPr>
          <w:rFonts w:ascii="Times New Roman" w:cs="Times New Roman" w:eastAsia="Times New Roman" w:hAnsi="Times New Roman"/>
          <w:color w:val="333333"/>
          <w:sz w:val="22"/>
          <w:szCs w:val="22"/>
        </w:rPr>
        <w:t xml:space="preserve">Luenberger, D. G. (1966). "Observers for Multivariable Systems." IEEE Transactions on Automatic Control, 11(2), 190–197.</w:t>
      </w:r>
    </w:p>
    <w:p>
      <w:pPr>
        <w:spacing w:after="100" w:line="276"/>
        <w:ind w:left="480" w:hanging="480"/>
      </w:pPr>
      <w:r>
        <w:rPr>
          <w:rFonts w:ascii="Times New Roman" w:cs="Times New Roman" w:eastAsia="Times New Roman" w:hAnsi="Times New Roman"/>
          <w:b/>
          <w:bCs/>
          <w:color w:val="333333"/>
          <w:sz w:val="22"/>
          <w:szCs w:val="22"/>
        </w:rPr>
        <w:t xml:space="preserve">[3]  </w:t>
      </w:r>
      <w:r>
        <w:rPr>
          <w:rFonts w:ascii="Times New Roman" w:cs="Times New Roman" w:eastAsia="Times New Roman" w:hAnsi="Times New Roman"/>
          <w:color w:val="333333"/>
          <w:sz w:val="22"/>
          <w:szCs w:val="22"/>
        </w:rPr>
        <w:t xml:space="preserve">Higgins, P. (2026). "The Sufficiency Frontier: Phase-Space Reduction and the Hierarchy of Information Reduction." Working Paper, Higgins Unity Framework v4.</w:t>
      </w:r>
    </w:p>
    <w:p>
      <w:pPr>
        <w:spacing w:after="100" w:line="276"/>
        <w:ind w:left="480" w:hanging="480"/>
      </w:pPr>
      <w:r>
        <w:rPr>
          <w:rFonts w:ascii="Times New Roman" w:cs="Times New Roman" w:eastAsia="Times New Roman" w:hAnsi="Times New Roman"/>
          <w:b/>
          <w:bCs/>
          <w:color w:val="333333"/>
          <w:sz w:val="22"/>
          <w:szCs w:val="22"/>
        </w:rPr>
        <w:t xml:space="preserve">[4]  </w:t>
      </w:r>
      <w:r>
        <w:rPr>
          <w:rFonts w:ascii="Times New Roman" w:cs="Times New Roman" w:eastAsia="Times New Roman" w:hAnsi="Times New Roman"/>
          <w:color w:val="333333"/>
          <w:sz w:val="22"/>
          <w:szCs w:val="22"/>
        </w:rPr>
        <w:t xml:space="preserve">Ostrom, E. (1990). Governing the Commons: The Evolution of Institutions for Collective Action. Cambridge: Cambridge University Press.</w:t>
      </w:r>
    </w:p>
    <w:p>
      <w:pPr>
        <w:spacing w:after="100" w:line="276"/>
        <w:ind w:left="480" w:hanging="480"/>
      </w:pPr>
      <w:r>
        <w:rPr>
          <w:rFonts w:ascii="Times New Roman" w:cs="Times New Roman" w:eastAsia="Times New Roman" w:hAnsi="Times New Roman"/>
          <w:b/>
          <w:bCs/>
          <w:color w:val="333333"/>
          <w:sz w:val="22"/>
          <w:szCs w:val="22"/>
        </w:rPr>
        <w:t xml:space="preserve">[5]  </w:t>
      </w:r>
      <w:r>
        <w:rPr>
          <w:rFonts w:ascii="Times New Roman" w:cs="Times New Roman" w:eastAsia="Times New Roman" w:hAnsi="Times New Roman"/>
          <w:color w:val="333333"/>
          <w:sz w:val="22"/>
          <w:szCs w:val="22"/>
        </w:rPr>
        <w:t xml:space="preserve">Aitchison, J. (1986). The Statistical Analysis of Compositional Data. London: Chapman and Hall.</w:t>
      </w:r>
    </w:p>
    <w:p>
      <w:pPr>
        <w:spacing w:after="100" w:line="276"/>
        <w:ind w:left="480" w:hanging="480"/>
      </w:pPr>
      <w:r>
        <w:rPr>
          <w:rFonts w:ascii="Times New Roman" w:cs="Times New Roman" w:eastAsia="Times New Roman" w:hAnsi="Times New Roman"/>
          <w:b/>
          <w:bCs/>
          <w:color w:val="333333"/>
          <w:sz w:val="22"/>
          <w:szCs w:val="22"/>
        </w:rPr>
        <w:t xml:space="preserve">[6]  </w:t>
      </w:r>
      <w:r>
        <w:rPr>
          <w:rFonts w:ascii="Times New Roman" w:cs="Times New Roman" w:eastAsia="Times New Roman" w:hAnsi="Times New Roman"/>
          <w:color w:val="333333"/>
          <w:sz w:val="22"/>
          <w:szCs w:val="22"/>
        </w:rPr>
        <w:t xml:space="preserve">Pawlowsky-Glahn, V. and Egozcue, J. J. (2001). "Geometric Approach to Statistical Analysis on the Simplex." Stochastic Environmental Research and Risk Assessment, 15(5), 384–398.</w:t>
      </w:r>
    </w:p>
    <w:p>
      <w:pPr>
        <w:spacing w:after="100" w:line="276"/>
        <w:ind w:left="480" w:hanging="480"/>
      </w:pPr>
      <w:r>
        <w:rPr>
          <w:rFonts w:ascii="Times New Roman" w:cs="Times New Roman" w:eastAsia="Times New Roman" w:hAnsi="Times New Roman"/>
          <w:b/>
          <w:bCs/>
          <w:color w:val="333333"/>
          <w:sz w:val="22"/>
          <w:szCs w:val="22"/>
        </w:rPr>
        <w:t xml:space="preserve">[7]  </w:t>
      </w:r>
      <w:r>
        <w:rPr>
          <w:rFonts w:ascii="Times New Roman" w:cs="Times New Roman" w:eastAsia="Times New Roman" w:hAnsi="Times New Roman"/>
          <w:color w:val="333333"/>
          <w:sz w:val="22"/>
          <w:szCs w:val="22"/>
        </w:rPr>
        <w:t xml:space="preserve">Kalman, R. E. (1960). "A New Approach to Linear Filtering and Prediction Problems." Journal of Basic Engineering, 82(1), 35–45.</w:t>
      </w:r>
    </w:p>
    <w:p>
      <w:pPr>
        <w:spacing w:after="100" w:line="276"/>
        <w:ind w:left="480" w:hanging="480"/>
      </w:pPr>
      <w:r>
        <w:rPr>
          <w:rFonts w:ascii="Times New Roman" w:cs="Times New Roman" w:eastAsia="Times New Roman" w:hAnsi="Times New Roman"/>
          <w:b/>
          <w:bCs/>
          <w:color w:val="333333"/>
          <w:sz w:val="22"/>
          <w:szCs w:val="22"/>
        </w:rPr>
        <w:t xml:space="preserve">[8]  </w:t>
      </w:r>
      <w:r>
        <w:rPr>
          <w:rFonts w:ascii="Times New Roman" w:cs="Times New Roman" w:eastAsia="Times New Roman" w:hAnsi="Times New Roman"/>
          <w:color w:val="333333"/>
          <w:sz w:val="22"/>
          <w:szCs w:val="22"/>
        </w:rPr>
        <w:t xml:space="preserve">Higgins, P. (2026). HUF Handbook v1.2.0. Markham, ON: Rogue Wave Audio.</w:t>
      </w:r>
    </w:p>
    <w:p>
      <w:pPr>
        <w:spacing w:after="100" w:line="276"/>
        <w:ind w:left="480" w:hanging="480"/>
      </w:pPr>
      <w:r>
        <w:rPr>
          <w:rFonts w:ascii="Times New Roman" w:cs="Times New Roman" w:eastAsia="Times New Roman" w:hAnsi="Times New Roman"/>
          <w:b/>
          <w:bCs/>
          <w:color w:val="333333"/>
          <w:sz w:val="22"/>
          <w:szCs w:val="22"/>
        </w:rPr>
        <w:t xml:space="preserve">[9]  </w:t>
      </w:r>
      <w:r>
        <w:rPr>
          <w:rFonts w:ascii="Times New Roman" w:cs="Times New Roman" w:eastAsia="Times New Roman" w:hAnsi="Times New Roman"/>
          <w:color w:val="333333"/>
          <w:sz w:val="22"/>
          <w:szCs w:val="22"/>
        </w:rPr>
        <w:t xml:space="preserve">City of Toronto Transportation Services (2019). "King Street Transit Priority Corridor — Evaluation Report." Report for Action to City Council, April 2, 2019.</w:t>
      </w:r>
    </w:p>
    <w:p>
      <w:pPr>
        <w:spacing w:after="100" w:line="276"/>
        <w:ind w:left="480" w:hanging="480"/>
      </w:pPr>
      <w:r>
        <w:rPr>
          <w:rFonts w:ascii="Times New Roman" w:cs="Times New Roman" w:eastAsia="Times New Roman" w:hAnsi="Times New Roman"/>
          <w:b/>
          <w:bCs/>
          <w:color w:val="333333"/>
          <w:sz w:val="22"/>
          <w:szCs w:val="22"/>
        </w:rPr>
        <w:t xml:space="preserve">[10]  </w:t>
      </w:r>
      <w:r>
        <w:rPr>
          <w:rFonts w:ascii="Times New Roman" w:cs="Times New Roman" w:eastAsia="Times New Roman" w:hAnsi="Times New Roman"/>
          <w:color w:val="333333"/>
          <w:sz w:val="22"/>
          <w:szCs w:val="22"/>
        </w:rPr>
        <w:t xml:space="preserve">Planck Collaboration (2014). "Planck 2013 Results. I. Overview of Products and Scientific Results." Astronomy &amp; Astrophysics, 571, A1. doi:10.1051/0004-6361/201321529.</w:t>
      </w:r>
    </w:p>
    <w:p>
      <w:pPr>
        <w:spacing w:after="100" w:line="276"/>
        <w:ind w:left="480" w:hanging="480"/>
      </w:pPr>
      <w:r>
        <w:rPr>
          <w:rFonts w:ascii="Times New Roman" w:cs="Times New Roman" w:eastAsia="Times New Roman" w:hAnsi="Times New Roman"/>
          <w:b/>
          <w:bCs/>
          <w:color w:val="333333"/>
          <w:sz w:val="22"/>
          <w:szCs w:val="22"/>
        </w:rPr>
        <w:t xml:space="preserve">[11]  </w:t>
      </w:r>
      <w:r>
        <w:rPr>
          <w:rFonts w:ascii="Times New Roman" w:cs="Times New Roman" w:eastAsia="Times New Roman" w:hAnsi="Times New Roman"/>
          <w:color w:val="333333"/>
          <w:sz w:val="22"/>
          <w:szCs w:val="22"/>
        </w:rPr>
        <w:t xml:space="preserve">Markowitz, H. (1952). "Portfolio Selection." The Journal of Finance, 7(1), 77–91.</w:t>
      </w:r>
    </w:p>
    <w:p>
      <w:pPr>
        <w:spacing w:after="100" w:line="276"/>
        <w:ind w:left="480" w:hanging="480"/>
      </w:pPr>
      <w:r>
        <w:rPr>
          <w:rFonts w:ascii="Times New Roman" w:cs="Times New Roman" w:eastAsia="Times New Roman" w:hAnsi="Times New Roman"/>
          <w:b/>
          <w:bCs/>
          <w:color w:val="333333"/>
          <w:sz w:val="22"/>
          <w:szCs w:val="22"/>
        </w:rPr>
        <w:t xml:space="preserve">[12]  </w:t>
      </w:r>
      <w:r>
        <w:rPr>
          <w:rFonts w:ascii="Times New Roman" w:cs="Times New Roman" w:eastAsia="Times New Roman" w:hAnsi="Times New Roman"/>
          <w:color w:val="333333"/>
          <w:sz w:val="22"/>
          <w:szCs w:val="22"/>
        </w:rPr>
        <w:t xml:space="preserve">Shannon, C. E. (1948). "A Mathematical Theory of Communication." Bell System Technical Journal, 27(3–4), 379–423, 623–656.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Times New Roman" w:cs="Times New Roman" w:eastAsia="Times New Roman" w:hAnsi="Times New Roman"/>
        <w:i/>
        <w:iCs/>
        <w:color w:val="999999"/>
        <w:sz w:val="16"/>
        <w:szCs w:val="16"/>
      </w:rPr>
      <w:t xml:space="preserve">Higgins  |  The Fourth Monitoring Category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2026-03-09T05:54:01.347Z</dcterms:created>
  <dcterms:modified xsi:type="dcterms:W3CDTF">2026-03-09T05:54:01.347Z</dcterms:modified>
</cp:coreProperties>
</file>

<file path=docProps/custom.xml><?xml version="1.0" encoding="utf-8"?>
<Properties xmlns="http://schemas.openxmlformats.org/officeDocument/2006/custom-properties" xmlns:vt="http://schemas.openxmlformats.org/officeDocument/2006/docPropsVTypes"/>
</file>