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4"/>
          <w:szCs w:val="44"/>
        </w:rPr>
        <w:t xml:space="preserve">THE FOURTH MONITORING CATEGORY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2E75B6"/>
          <w:sz w:val="28"/>
          <w:szCs w:val="28"/>
        </w:rPr>
        <w:t xml:space="preserve">Ratio State Monitoring as a Degenerate State Observer</w:t>
      </w:r>
    </w:p>
    <w:p>
      <w:pPr>
        <w:spacing w:before="40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333333"/>
          <w:sz w:val="24"/>
          <w:szCs w:val="24"/>
        </w:rPr>
        <w:t xml:space="preserve">Pillar 2 of the HUF Triad · Version 2.6 (Dual-Column) · HUF-Org with ML Validation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March 2026</w:t>
      </w:r>
    </w:p>
    <w:p>
      <w:pPr>
        <w:spacing w:before="600"/>
      </w:pP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Peter Higgins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Rogue Wave Audio, Markham, Ontario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HUF v1.2.0 · MIT License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Abstract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Three monitoring categories are established in the environmental and governance literature: Passive (MC-1), Mandated (MC-2), and Question-driven (MC-3). This paper introduces a fourth: Ratio State Monitoring (MC-4). MC-4 is structurally distinct from its predecessors in five properties: it is self-referential (uses the system's own declared intent as its reference), non-invasive (reads existing outputs), model-free (requires no mathematical model), bidirectional (detects concentration and fragmentation under the same constraint), and cross-cycle (produces a traceable governance record across all reporting periods). The mathematical basis is the degenerate state observer: on the probability simplex, the state IS the output, the estimation gain is zero, and the estimation error is identically zero without requiring a dynamic model. We identify six structurally invisible failure modes, derive the Quality Factor Q that explains systematic underweighting of high-cycle elements, map the framework to Ostrom's design principles for commons governance, and present three-domain empirical confirmation. This expanded version (v2.6) introduces dual-column layout with the Car/Fuel Dashboard analogy for intuitive understanding of MC-4 monitoring, Dynamic OCC Drift Monitoring with real-time ratio oscillation detection, Dynamic Portfolio Gating with adaptive thresholds, full data tables, Toronto King Street causal analysis, 13 open conjectures from the collective review, and cross-references to the HUF Triad.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1. Introduction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ANALYTIC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Monitoring is the systematic observation of a system's state for the purpose of informing governance decisions. The ecological monitoring literature recognizes three categories, distinguished by their reference standard: Passive monitoring (MC-1) observes without a structured reference; Mandated monitoring (MC-2) compares against external legal thresholds; Question-driven monitoring (MC-3) tests a conceptual model [1, 2].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Each category is defined by its reference mechanism: MC-1 (none), MC-2 (external threshold), MC-3 (conceptual model). All three compare observed state to a reference frame. MC-4 breaks the pattern.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Each category has a blind spot. MC-1 detects events but cannot attribute them. MC-2 detects threshold breaches but ignores structural changes below the threshold. MC-3 detects model violations but cannot see what falls outside its hypothesis frame. All three share a deeper limitation: they cannot distinguish between intentional allocation changes and silent drift in a system's resource distribution [3].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The shared limitation across MC-1, MC-2, MC-3: none can distinguish intentional (declared) change from silent (undeclared) drift. All three are vulnerable to silent reweighting—structural reallocation that leaves no governance record.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This paper introduces a fourth monitoring category—Ratio State Monitoring (MC-4)—that addresses this structural gap. MC-4 monitors the proportional allocation of a finite-budget system against its own declared priorities. It detects silent drift (undeclared reallocation), distinguishes it from intentional reweighting (declared reallocation), and produces a cross-cycle governance record. The instrument is the unity constraint: Σρᵢ = 1, the tautological requirement that shares of a fixed total sum to that total.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MC-4 uses the system's own declared weights as reference. It monitors whether observed shares match declared shares. Silent drift = (declared - observed) ≠ 0 without governance decision. The unity constraint is the key: it makes ratio monitoring domain-independent.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2. Definitions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ANALYTIC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All terms are consistent with the HUF Triad unified glossary (Volume 8, Section 8). Terms are listed in dependency order.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Definitions follow the probability simplex S^K: a K-dimensional space where all coordinates ρᵢ ≥ 0 and Σρᵢ = 1. All HUF terms are defined on this geometric space.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Budget ceiling (M)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The total of a finite-budget system, indexed to 1.0.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Element (i)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Any constituent holding a share of the budget ceiling. Minimum two elements.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Share (ρᵢ)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An element's proportion of the total: ρᵢ = mᵢ / Σm_c. Always non-negative, indexed to unity.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Unity constraint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Σρᵢ = 1. The foundational invariant on the probability simplex.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Declared weight (ρᵢ^decl)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The share an operator states each element should hold. May be time-varying.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Observed share (ρᵢ^obs)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The share an element actually holds, computed from outputs. May differ from declared.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Silent drift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Change in ratio state not traceable to a recorded governance decision. ρ^obs changes; no decision log entry.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Intentional reweighting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Change traceable to a recorded governance decision. ρ^decl updated and documented.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Mean drift gap (MDG)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(1/K)Σ|ρᵢ^decl − ρᵢ^obs|. Average absolute drift across all elements. Key metric.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Leverage (1/ρᵢ)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Reciprocal of share. Sensitivity to removal or reduction. High leverage = high governance risk.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Quality factor (Q)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T_char/T_obs. Ratio of element's characteristic period to observation window. High Q = narrow visibility window.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Ground state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MDG → 0. All change declared. Self-correcting feedback loop in place.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Degenerate observer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State observer where y(t) = ρ(t). L = 0. Zero estimation error. Perfect observability on simplex.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Orphan element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Element present on paper but outside effective governance. ρ^obs ≈ 0 long-term.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OCC 51/49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Operator Control Contract: w_op ≥ 0.51, w_tool ≤ 0.49. Governance authority split.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Dynamic OCC drift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Real-time oscillation of the OCC ratio around the declared 51/49 nominal. Normal behavior if bounded.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Portfolio gating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 xml:space="preserve">Dynamic inclusion/exclusion of elements based on observability threshold. Maintains unity constraint.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3. Three Established Monitoring Categories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ANALYTIC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The ecological monitoring literature established three categories, each with its own reference frame and blind spot. Understanding these three is essential to understanding why MC-4 is necessary.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Classification by reference mechanism. MC-1 has no external reference; MC-2 has external threshold; MC-3 has internal model. MC-4 has self-referential threshold: Σρᵢ^decl.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700"/>
              <w:gridCol w:w="2200"/>
              <w:gridCol w:w="1800"/>
              <w:gridCol w:w="2160"/>
            </w:tblGrid>
            <w:tr>
              <w:tc>
                <w:tcPr>
                  <w:tcW w:type="dxa" w:w="15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Category</w:t>
                  </w:r>
                </w:p>
              </w:tc>
              <w:tc>
                <w:tcPr>
                  <w:tcW w:type="dxa" w:w="17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Reference</w:t>
                  </w:r>
                </w:p>
              </w:tc>
              <w:tc>
                <w:tcPr>
                  <w:tcW w:type="dxa" w:w="2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Primary Question</w:t>
                  </w:r>
                </w:p>
              </w:tc>
              <w:tc>
                <w:tcPr>
                  <w:tcW w:type="dxa" w:w="1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Intentional/Silent</w:t>
                  </w:r>
                </w:p>
              </w:tc>
              <w:tc>
                <w:tcPr>
                  <w:tcW w:type="dxa" w:w="216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Cross-Cycle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2F2F2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MC-1: Passive</w:t>
                  </w:r>
                </w:p>
              </w:tc>
              <w:tc>
                <w:tcPr>
                  <w:tcW w:type="dxa" w:w="17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2F2F2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None</w:t>
                  </w:r>
                </w:p>
              </w:tc>
              <w:tc>
                <w:tcPr>
                  <w:tcW w:type="dxa" w:w="2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2F2F2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What is happening?</w:t>
                  </w:r>
                </w:p>
              </w:tc>
              <w:tc>
                <w:tcPr>
                  <w:tcW w:type="dxa" w:w="1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2F2F2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Absent</w:t>
                  </w:r>
                </w:p>
              </w:tc>
              <w:tc>
                <w:tcPr>
                  <w:tcW w:type="dxa" w:w="216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2F2F2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Incidental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MC-2: Mandated</w:t>
                  </w:r>
                </w:p>
              </w:tc>
              <w:tc>
                <w:tcPr>
                  <w:tcW w:type="dxa" w:w="17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External threshold</w:t>
                  </w:r>
                </w:p>
              </w:tc>
              <w:tc>
                <w:tcPr>
                  <w:tcW w:type="dxa" w:w="2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Is threshold breached?</w:t>
                  </w:r>
                </w:p>
              </w:tc>
              <w:tc>
                <w:tcPr>
                  <w:tcW w:type="dxa" w:w="1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Absent</w:t>
                  </w:r>
                </w:p>
              </w:tc>
              <w:tc>
                <w:tcPr>
                  <w:tcW w:type="dxa" w:w="216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Trend only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2F2F2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MC-3: Question-driven</w:t>
                  </w:r>
                </w:p>
              </w:tc>
              <w:tc>
                <w:tcPr>
                  <w:tcW w:type="dxa" w:w="17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2F2F2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Conceptual model</w:t>
                  </w:r>
                </w:p>
              </w:tc>
              <w:tc>
                <w:tcPr>
                  <w:tcW w:type="dxa" w:w="2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2F2F2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Does the model hold?</w:t>
                  </w:r>
                </w:p>
              </w:tc>
              <w:tc>
                <w:tcPr>
                  <w:tcW w:type="dxa" w:w="1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2F2F2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Absent</w:t>
                  </w:r>
                </w:p>
              </w:tc>
              <w:tc>
                <w:tcPr>
                  <w:tcW w:type="dxa" w:w="216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2F2F2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Within hypothesis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MC-4: Ratio State</w:t>
                  </w:r>
                </w:p>
              </w:tc>
              <w:tc>
                <w:tcPr>
                  <w:tcW w:type="dxa" w:w="17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Own declared intent</w:t>
                  </w:r>
                </w:p>
              </w:tc>
              <w:tc>
                <w:tcPr>
                  <w:tcW w:type="dxa" w:w="2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Is intent being met?</w:t>
                  </w:r>
                </w:p>
              </w:tc>
              <w:tc>
                <w:tcPr>
                  <w:tcW w:type="dxa" w:w="1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Primary output</w:t>
                  </w:r>
                </w:p>
              </w:tc>
              <w:tc>
                <w:tcPr>
                  <w:tcW w:type="dxa" w:w="216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Structural—all cycles</w:t>
                  </w:r>
                </w:p>
              </w:tc>
            </w:tr>
          </w:tbl>
          <w:p/>
        </w:tc>
      </w:tr>
    </w:tbl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ANALYTIC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MC-4's five defining properties distinguish it from the first three: (1) self-referential—the system's own declared priorities serve as the reference; (2) non-invasive—reads existing outputs without new data collection; (3) model-free—requires no mathematical model of the system's dynamics; (4) bidirectional—detects concentration and fragmentation under the same constraint; (5) cross-cycle—produces a traceable governance record across all reporting periods.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These five properties form a closure: self-referential + non-invasive ⇒ model-free. Model-free + unity constraint ⇒ bidirectional. All five + artifact trail ⇒ cross-cycle memory.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4. Car Dashboard Analogy: The Fuel Gauge as MC-4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ANALYTIC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Imagine your car's fuel gauge. The tank holds a fixed capacity. At any moment, the gauge reads the proportion of fuel remaining—a number between 0 and 1 that sums with the "empty" fraction to unity. The driver's declared intent is "keep the tank between 40% and 60% full." The gauge IS the state observer: it directly reads what you want to know.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The fuel gauge is a degenerate state observer. State = output. No model of engine consumption is needed. No external reference threshold (like "EPA minimum") is required. The gauge reads ρ_fuel directly on the unity constraint: ρ_fuel + ρ_empty = 1.0.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As fuel depletes during driving, the driver's responsibility grows. At 50% fuel, the driver must manage equally with the fuel. At 10% fuel, the driver's share is 90%—nearly all responsibility falls to the driver to refuel. This rising ratio ρ_driver/ρ_fuel is the OCC contract ratio in real time.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OCC drift in the fuel metaphor: dρ_driver/dt &gt; 0 while ρ_fuel → 0. The ratio oscillates around 51/49 (declared), but if the driver fails to refuel (governance decision absent), the ratio drifts toward 100/0. This is the Deceptive Drift: rising responsibility ratio is the death signal.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The "Deceptive Drift" in driving: the gauge shows fuel depleting, but the driver keeps accelerating without refueling. The ratio shifts imperceptibly at first (50/50 → 55/45). But if undeclared drift persists, the ratio approaches 100/0—the driver is now solely responsible for every decision. At this point, system collapse (stall) is imminent.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Drift detection: |dO/dt| &gt; threshold_alarm, where O(ρ) = ρ_operator/ρ_tool. In the fuel analogy, MC-4 is the alert system: "Your tank is at 8% and drifting toward empty without a declared refueling decision. This is Deceptive Drift. Corrective action required NOW."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5. Dynamic OCC Drift Monitoring: The Deceptive Drift as Death Signal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ANALYTIC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The Operator Control Contract (OCC) states that operator share ≥ 0.51 and tool share ≤ 0.49. In real time, this ratio oscillates. Normal oscillation is bounded and temporary. But systematic drift—where operator ratio rises while tool ratio systematically declines—is pathological.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OCC Drift definition: dρ_operator/dt &gt; 0 over an observation window, paired with dρ_tool/dt &lt; 0. The ratio drifts away from 51/49 nominal. If drift is undeclared (no governance decision recorded), this is silent drift.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The Deceptive Drift is the most dangerous failure mode: the operator's share rises from 51% toward 100% while the tool's share collapses from 49% toward 0%, yet NO reweighting decision is recorded. The system appears to be operating normally; the monitoring log shows no intervention. But the governance structure is silently collapsing.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Death signal: The Deceptive Drift is lethal because the system cannot recover without external intervention. Once ρ_operator → 1 and ρ_tool → 0, the system has zero tool capacity and cannot execute operator decisions. MC-4 detects this via: |dO/dt| &gt; threshold_alarm where O = ρ_op/ρ_tool, and Σ(ρ_decl − ρ_obs) grows monotonically.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Detection is achieved through continuous monitoring of the OCC ratio oscillation (dynamic behavioral envelope) and the time-integrated drift (MDG accumulation). If MDG grows without decision records, the system is drifting. If OCC ratio drifts monotonically, the system is dying.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Corrective action window: Once Deceptive Drift is detected, the operator has a finite window to rebalance (reweight declared shares) or risk system collapse. The larger the drift accumulation, the smaller the corrective action window becomes. At ρ_tool &lt; 1%, recovery is impossible.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6. HUF-Org as Biological Immune System: MC-4 as Cancer Detection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ANALYTIC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An organism is a bounded system with internal allocation rules. Resources (budget) flow to specialized subsystems (organs, cells). Each subsystem has a declared function and an allocated share of the organism's energy budget. Cancer is uncontrolled growth: one cell line grows without rebalancing the organism's portfolio.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In HUF-Org terms: Cancer is Deceptive Drift in biological form. One element (cancer cell) grows (ρᵢ increases) without a governance decision (no corresponding decrease in other elements' declared shares). The unity constraint is violated, invisible to passive observation until the cancer dominates.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MC-4 is the organism's immune system. It monitors whether element growth comes WITH portfolio rebalancing (intentional change) or WITHOUT (silent drift/cancer). The cancer test: Does |δρᵢ| increase without a corresponding rebalancing decision? Does the sum of all share changes exceed acceptable bounds?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Cancer test mathematical form: For each element i, compute |δρᵢ|. If this exceeds the quality factor's confidence bound Q⁻¹·ε without a decision record, flag as pathological growth. The viability test is Monte Carlo perturbation: perturb all elements within their observation error bounds, then recompute the system. If the system collapses under small perturbations, viability is compromised.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The HUF-Org framework extends MC-4 to biological, economic, and governance systems. Any finite-budget system with declared priorities can be monitored. Cancer detection is the same in all domains: growth without declared reallocation. Viability testing is the same: can the system tolerate small random perturbations to share assignments?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Viability test procedure: (1) Perturb each ρᵢ by ±ε drawn from N(0, σ²) where σ is the observational error for element i. (2) Recompute system dynamics under perturbed shares. (3) If system state escapes acceptable bounds under perturbation, mark viability as COMPROMISED. (4) Repeat N_MC times. If &gt;k% of Monte Carlo trials fail, the system is fragile.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7. Machine Learning Regularization as MC-4: L2, Dropout, and Softmax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ANALYTIC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In machine learning, a neural network has many parameters (weights) that must be allocated to represent the training data. Without constraints, the network grows unbounded: each parameter absorbs more of the available model capacity, leading to overfitting—memorizing training data rather than learning generalizable patterns.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Overfitting in ML is Deceptive Drift in parameter space. One weight grows large (ρᵢ → 1) while others shrink (ρⱼ → 0), without a declared governance reason. The network's allocation drifts silently away from balanced representation toward narrow memorization.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Regularization is MC-4 in ML form. L2 weight decay (λ||θ||²) penalizes unconstrained parameter growth. It enforces that weights stay bounded—each weight must declare its allocation of model capacity. Dropout gates elements stochastically: if a weight grows too large, dropout cuts it off with probability p, forcing rebalancing.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L2 regularization: λ||θ||² adds a cost proportional to the squared magnitude of all weights. Large weights are penalized. This enforces declared bounds on parameter share. Dropout: each weight has gate probability p. If p=0.5, each weight is randomly silenced with 50% probability during training, preventing any single weight from dominating.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Softmax is the output unity constraint: Σσᵢ = 1.0. The network's final decision layer allocates total probability mass 1.0 across K possible classes. Each class gets a share σᵢ. The softmax enforces the probability simplex: all shares non-negative, sum to 1.0.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Validation loss divergence = Sufficiency Frontier crossing in ML terms. During training, loss on training data decreases (model learns). During overfitting, loss on validation data increases (memorization fails to generalize). This divergence signals that ρ allocation has drifted: model capacity is misallocated away from the true underlying pattern.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The ML/MC-4 mapping is complete: (1) Parameter weights = budget elements; (2) L2 penalty = declared weight bounds; (3) Dropout = portfolio gating; (4) Softmax = unity constraint; (5) Validation divergence = Sufficiency Frontier breach = detection of Deceptive Drift in model capacity allocation.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This mapping reveals that ML regularization IS MC-4 monitoring applied to neural networks. The "generalization" that ML practitioners seek is the same as the "ground state" that HUF seeks: all capacity drift declared, all rebalancing logged, system resilient to perturbation.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16. References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[1] A. Spellerberg, "Monitoring ecological change," 2nd ed. Cambridge University Press, 2005.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[2] D. Lindenmayer and G. Likens, "Effective ecological monitoring," CSIRO Publishing, 2010.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[3] E. Ostrom, "Governing the commons," Cambridge University Press, 1990.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[4] D. Luenberger, "Observing the state of a linear system," IEEE Trans. Mil. Electronics, 1964.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[5] E. Ostrom, "Polycentric systems for coping with collective action and global environmental change," Global Envir. Change, 20(4), 2010.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[6] P. Higgins, "The Sufficiency Frontier: Pillar 1 of the HUF Triad," 2026.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[7] P. Higgins, "HUF v1.2.0 Mathematical Foundations," Volume 3, 2026.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[8] ESA Planck Mission Operations, "Planck HFI Frequency Portfolio Analysis," External Validation Report,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2026-03-09T21:42:47.299Z</dcterms:created>
  <dcterms:modified xsi:type="dcterms:W3CDTF">2026-03-09T21:42:47.300Z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