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rFonts w:ascii="Georgia" w:cs="Georgia" w:eastAsia="Georgia" w:hAnsi="Georgia"/>
          <w:i/>
          <w:iCs/>
          <w:color w:val="666666"/>
          <w:sz w:val="28"/>
          <w:szCs w:val="28"/>
        </w:rPr>
        <w:t xml:space="preserve">The Origin of the</w:t>
      </w:r>
    </w:p>
    <w:p>
      <w:pPr>
        <w:spacing w:after="60"/>
        <w:jc w:val="center"/>
      </w:pPr>
      <w:r>
        <w:rPr>
          <w:rFonts w:ascii="Georgia" w:cs="Georgia" w:eastAsia="Georgia" w:hAnsi="Georgia"/>
          <w:b/>
          <w:bCs/>
          <w:color w:val="1F4E79"/>
          <w:sz w:val="48"/>
          <w:szCs w:val="48"/>
        </w:rPr>
        <w:t xml:space="preserve">HIGGINS UNITY FRAMEWORK</w:t>
      </w:r>
    </w:p>
    <w:p>
      <w:pPr>
        <w:pBdr>
          <w:bottom w:val="single" w:color="2E75B6" w:sz="6" w:space="1"/>
        </w:pBdr>
        <w:spacing w:after="400"/>
        <w:jc w:val="center"/>
      </w:pPr>
      <w:r>
        <w:rPr>
          <w:rFonts w:ascii="Georgia" w:cs="Georgia" w:eastAsia="Georgia" w:hAnsi="Georgia"/>
          <w:i/>
          <w:iCs/>
          <w:color w:val="2E75B6"/>
          <w:sz w:val="24"/>
          <w:szCs w:val="24"/>
        </w:rPr>
        <w:t xml:space="preserve">From Loudspeaker Diffraction to Universal Governance</w:t>
      </w:r>
    </w:p>
    <w:p>
      <w:pPr>
        <w:spacing w:after="200"/>
      </w:pPr>
    </w:p>
    <w:p>
      <w:pPr>
        <w:spacing w:after="60"/>
        <w:jc w:val="center"/>
      </w:pPr>
      <w:r>
        <w:rPr>
          <w:rFonts w:ascii="Georgia" w:cs="Georgia" w:eastAsia="Georgia" w:hAnsi="Georgia"/>
          <w:sz w:val="26"/>
          <w:szCs w:val="26"/>
        </w:rPr>
        <w:t xml:space="preserve">Peter Higgins</w:t>
      </w:r>
    </w:p>
    <w:p>
      <w:pPr>
        <w:spacing w:after="60"/>
        <w:jc w:val="center"/>
      </w:pPr>
      <w:r>
        <w:rPr>
          <w:rFonts w:ascii="Georgia" w:cs="Georgia" w:eastAsia="Georgia" w:hAnsi="Georgia"/>
          <w:i/>
          <w:iCs/>
          <w:color w:val="666666"/>
          <w:sz w:val="18"/>
          <w:szCs w:val="18"/>
        </w:rPr>
        <w:t xml:space="preserve">with the HUF Five-AI Collective: Grok (xAI) · Claude (Anthropic) · ChatGPT (OpenAI) · Gemini (Google) · Copilot (Microsoft)</w:t>
      </w:r>
    </w:p>
    <w:p>
      <w:pPr>
        <w:spacing w:after="200"/>
        <w:jc w:val="center"/>
      </w:pPr>
      <w:r>
        <w:rPr>
          <w:rFonts w:ascii="Georgia" w:cs="Georgia" w:eastAsia="Georgia" w:hAnsi="Georgia"/>
          <w:sz w:val="22"/>
          <w:szCs w:val="22"/>
        </w:rPr>
        <w:t xml:space="preserve">March 2026</w:t>
      </w:r>
    </w:p>
    <w:p>
      <w:pPr>
        <w:spacing w:after="400"/>
      </w:pPr>
    </w:p>
    <w:p>
      <w:pPr>
        <w:spacing w:after="80"/>
        <w:jc w:val="center"/>
      </w:pPr>
      <w:r>
        <w:rPr>
          <w:rFonts w:ascii="Arial" w:cs="Arial" w:eastAsia="Arial" w:hAnsi="Arial"/>
          <w:i/>
          <w:iCs/>
          <w:color w:val="999999"/>
          <w:sz w:val="20"/>
          <w:szCs w:val="20"/>
        </w:rPr>
        <w:t xml:space="preserve">Based on the original handwritten derivation</w:t>
      </w:r>
    </w:p>
    <w:p>
      <w:pPr>
        <w:spacing w:after="80"/>
        <w:jc w:val="center"/>
      </w:pPr>
      <w:r>
        <w:rPr>
          <w:rFonts w:ascii="Arial" w:cs="Arial" w:eastAsia="Arial" w:hAnsi="Arial"/>
          <w:i/>
          <w:iCs/>
          <w:color w:val="999999"/>
          <w:sz w:val="20"/>
          <w:szCs w:val="20"/>
        </w:rPr>
        <w:t xml:space="preserve">BTL Notebook #19, August 2, 2024</w:t>
      </w:r>
    </w:p>
    <w:p>
      <w:pPr>
        <w:jc w:val="center"/>
      </w:pPr>
      <w:r>
        <w:rPr>
          <w:rFonts w:ascii="Courier New" w:cs="Courier New" w:eastAsia="Courier New" w:hAnsi="Courier New"/>
          <w:color w:val="999999"/>
          <w:sz w:val="18"/>
          <w:szCs w:val="18"/>
        </w:rPr>
        <w:t xml:space="preserve">20240920_PETER#19_001.pdf</w:t>
      </w:r>
    </w:p>
    <w:p>
      <w:r>
        <w:br w:type="page"/>
      </w:r>
    </w:p>
    <w:p>
      <w:pPr>
        <w:spacing w:after="400"/>
      </w:pPr>
    </w:p>
    <w:p>
      <w:pPr>
        <w:spacing w:after="400"/>
        <w:jc w:val="center"/>
      </w:pPr>
      <w:r>
        <w:rPr>
          <w:rFonts w:ascii="Georgia" w:cs="Georgia" w:eastAsia="Georgia" w:hAnsi="Georgia"/>
          <w:i/>
          <w:iCs/>
          <w:color w:val="444444"/>
          <w:sz w:val="24"/>
          <w:szCs w:val="24"/>
        </w:rPr>
        <w:t xml:space="preserve">"To build things you need to learn things,</w:t>
      </w:r>
    </w:p>
    <w:p>
      <w:pPr>
        <w:spacing w:after="600"/>
        <w:jc w:val="center"/>
      </w:pPr>
      <w:r>
        <w:rPr>
          <w:rFonts w:ascii="Georgia" w:cs="Georgia" w:eastAsia="Georgia" w:hAnsi="Georgia"/>
          <w:i/>
          <w:iCs/>
          <w:color w:val="444444"/>
          <w:sz w:val="24"/>
          <w:szCs w:val="24"/>
        </w:rPr>
        <w:t xml:space="preserve">to learn things you need to build things."</w:t>
      </w:r>
    </w:p>
    <w:p>
      <w:pPr>
        <w:spacing w:after="200"/>
        <w:jc w:val="center"/>
      </w:pPr>
      <w:r>
        <w:rPr>
          <w:rFonts w:ascii="Georgia" w:cs="Georgia" w:eastAsia="Georgia" w:hAnsi="Georgia"/>
          <w:color w:val="888888"/>
          <w:sz w:val="20"/>
          <w:szCs w:val="20"/>
        </w:rPr>
        <w:t xml:space="preserve">— Peter Higgins, AES Document (June 2024)</w:t>
      </w:r>
    </w:p>
    <w:p>
      <w:r>
        <w:br w:type="page"/>
      </w:r>
    </w:p>
    <w:p>
      <w:pPr>
        <w:pStyle w:val="Heading1"/>
        <w:spacing w:after="240" w:before="400"/>
      </w:pPr>
      <w:r>
        <w:rPr>
          <w:rFonts w:ascii="Georgia" w:cs="Georgia" w:eastAsia="Georgia" w:hAnsi="Georgia"/>
          <w:b/>
          <w:bCs/>
          <w:color w:val="1F4E79"/>
          <w:sz w:val="34"/>
          <w:szCs w:val="34"/>
        </w:rPr>
        <w:t xml:space="preserve">I. The Twenty-Year Question</w:t>
      </w:r>
    </w:p>
    <w:p>
      <w:pPr>
        <w:spacing w:after="160" w:line="320"/>
      </w:pPr>
      <w:r>
        <w:rPr>
          <w:rFonts w:ascii="Georgia" w:cs="Georgia" w:eastAsia="Georgia" w:hAnsi="Georgia"/>
          <w:sz w:val="22"/>
          <w:szCs w:val="22"/>
        </w:rPr>
        <w:t xml:space="preserve">The Higgins Unity Framework did not begin as a governance system. It did not begin as mathematics. It began as a loudspeaker.</w:t>
      </w:r>
    </w:p>
    <w:p>
      <w:pPr>
        <w:spacing w:after="160" w:line="320"/>
      </w:pPr>
      <w:r>
        <w:rPr>
          <w:rFonts w:ascii="Georgia" w:cs="Georgia" w:eastAsia="Georgia" w:hAnsi="Georgia"/>
          <w:sz w:val="22"/>
          <w:szCs w:val="22"/>
        </w:rPr>
        <w:t xml:space="preserve">For twenty years, Peter Higgins designed and built precision sound reproduction systems at the Binaural Test Lab (BTL) in Markham, Ontario. The design mandate was simple to state and relentless to pursue: every subsystem in the playback chain — transducers, amplifiers, cables, cabinets, the listening room, and the air itself — must be tuned in relation to every other subsystem. An uncontrolled variable anywhere in the chain produces an unknown degradation that increases audible roughness and reduces clarity.</w:t>
      </w:r>
    </w:p>
    <w:p>
      <w:pPr>
        <w:spacing w:after="160" w:line="320"/>
      </w:pPr>
      <w:r>
        <w:rPr>
          <w:rFonts w:ascii="Georgia" w:cs="Georgia" w:eastAsia="Georgia" w:hAnsi="Georgia"/>
          <w:sz w:val="22"/>
          <w:szCs w:val="22"/>
        </w:rPr>
        <w:t xml:space="preserve">This pursuit led to a concept Higgins called </w:t>
      </w:r>
      <w:r>
        <w:rPr>
          <w:rFonts w:ascii="Georgia" w:cs="Georgia" w:eastAsia="Georgia" w:hAnsi="Georgia"/>
          <w:b/>
          <w:bCs/>
          <w:sz w:val="22"/>
          <w:szCs w:val="22"/>
        </w:rPr>
        <w:t xml:space="preserve">System Q</w:t>
      </w:r>
      <w:r>
        <w:rPr>
          <w:rFonts w:ascii="Georgia" w:cs="Georgia" w:eastAsia="Georgia" w:hAnsi="Georgia"/>
          <w:sz w:val="22"/>
          <w:szCs w:val="22"/>
        </w:rPr>
        <w:t xml:space="preserve">: a dimensionless quality factor that transfers across system boundaries. The Q of the amplifier relates to the Q of the transducer. The Q of the transducer relates to the Q of the cabinet. The Q of the cabinet relates to the Q of the room. Each ratio is dimensionless, which means it carries across domains without conversion. The human ear, trained over a lifetime, can detect differences as small as 0.25 dB at 1 kHz — the Just Noticeable Difference (JND). The system must be controlled to that resolution or the listener will hear the failure.</w:t>
      </w:r>
    </w:p>
    <w:p>
      <w:pPr>
        <w:spacing w:after="160" w:line="320"/>
      </w:pPr>
      <w:r>
        <w:rPr>
          <w:rFonts w:ascii="Georgia" w:cs="Georgia" w:eastAsia="Georgia" w:hAnsi="Georgia"/>
          <w:sz w:val="22"/>
          <w:szCs w:val="22"/>
        </w:rPr>
        <w:t xml:space="preserve">Over 100,000 transfer function measurements were made at the BTL. Every configuration was captured. Every iteration was logged. The lab became a place where theory met physics every day, and physics always had the final word.</w:t>
      </w:r>
    </w:p>
    <w:p>
      <w:r>
        <w:br w:type="page"/>
      </w:r>
    </w:p>
    <w:p>
      <w:pPr>
        <w:pStyle w:val="Heading1"/>
        <w:spacing w:after="240" w:before="400"/>
      </w:pPr>
      <w:r>
        <w:rPr>
          <w:rFonts w:ascii="Georgia" w:cs="Georgia" w:eastAsia="Georgia" w:hAnsi="Georgia"/>
          <w:b/>
          <w:bCs/>
          <w:color w:val="1F4E79"/>
          <w:sz w:val="34"/>
          <w:szCs w:val="34"/>
        </w:rPr>
        <w:t xml:space="preserve">II. The Diffraction Problem</w:t>
      </w:r>
    </w:p>
    <w:p>
      <w:pPr>
        <w:spacing w:after="160" w:line="320"/>
      </w:pPr>
      <w:r>
        <w:rPr>
          <w:rFonts w:ascii="Georgia" w:cs="Georgia" w:eastAsia="Georgia" w:hAnsi="Georgia"/>
          <w:sz w:val="22"/>
          <w:szCs w:val="22"/>
        </w:rPr>
        <w:t xml:space="preserve">Every box-shaped loudspeaker cabinet has a problem. At low frequencies, where the wavelength of sound is much larger than the cabinet, the driver radiates omnidirectionally into 4π steradians — a full sphere of sound. At high frequencies, where the wavelength is much smaller than the cabinet, the driver radiates into 2π steradians — a half-sphere, blocked by the baffle behind it. The transition between these two regimes produces a gain of exactly:</w:t>
      </w:r>
    </w:p>
    <w:p>
      <w:pPr>
        <w:spacing w:after="120" w:line="280"/>
        <w:jc w:val="center"/>
      </w:pPr>
      <w:r>
        <w:rPr>
          <w:rFonts w:ascii="Courier New" w:cs="Courier New" w:eastAsia="Courier New" w:hAnsi="Courier New"/>
          <w:b/>
          <w:bCs/>
          <w:sz w:val="22"/>
          <w:szCs w:val="22"/>
        </w:rPr>
        <w:t xml:space="preserve">G = 20 × log₁₀(2) = 6.0206 dB</w:t>
      </w:r>
    </w:p>
    <w:p>
      <w:pPr>
        <w:spacing w:after="160" w:line="320"/>
      </w:pPr>
      <w:r>
        <w:rPr>
          <w:rFonts w:ascii="Georgia" w:cs="Georgia" w:eastAsia="Georgia" w:hAnsi="Georgia"/>
          <w:sz w:val="22"/>
          <w:szCs w:val="22"/>
        </w:rPr>
        <w:t xml:space="preserve">This is not a design choice. It is a consequence of geometry. Every rectangular cabinet in the world exhibits this 6 dB step. The question is not whether it exists, but where in frequency it occurs and how it distributes across the three physical dimensions of the box.</w:t>
      </w:r>
    </w:p>
    <w:p>
      <w:pPr>
        <w:spacing w:after="160" w:line="320"/>
      </w:pPr>
      <w:r>
        <w:rPr>
          <w:rFonts w:ascii="Georgia" w:cs="Georgia" w:eastAsia="Georgia" w:hAnsi="Georgia"/>
          <w:sz w:val="22"/>
          <w:szCs w:val="22"/>
        </w:rPr>
        <w:t xml:space="preserve">The classical answer, from Olson and Murphy, treats the cabinet as a single equivalent dimension:</w:t>
      </w:r>
    </w:p>
    <w:p>
      <w:pPr>
        <w:spacing w:after="120" w:line="280"/>
        <w:jc w:val="center"/>
      </w:pPr>
      <w:r>
        <w:rPr>
          <w:rFonts w:ascii="Courier New" w:cs="Courier New" w:eastAsia="Courier New" w:hAnsi="Courier New"/>
          <w:b/>
          <w:bCs/>
          <w:sz w:val="22"/>
          <w:szCs w:val="22"/>
        </w:rPr>
        <w:t xml:space="preserve">fc = 115 / W</w:t>
      </w:r>
    </w:p>
    <w:p>
      <w:pPr>
        <w:spacing w:after="160" w:line="320"/>
      </w:pPr>
      <w:r>
        <w:rPr>
          <w:rFonts w:ascii="Georgia" w:cs="Georgia" w:eastAsia="Georgia" w:hAnsi="Georgia"/>
          <w:sz w:val="22"/>
          <w:szCs w:val="22"/>
        </w:rPr>
        <w:t xml:space="preserve">where W is the baffle width in meters and fc is the corner frequency in Hz. The constant 115 Hz·m is empirical, refined from decades of measurement. This single-dimension model is adequate for simple designs but it ignores a physical reality: a rectangular cabinet has three dimensions, not one, and each dimension produces its own diffraction transition at its own frequency.</w:t>
      </w:r>
    </w:p>
    <w:p>
      <w:r>
        <w:br w:type="page"/>
      </w:r>
    </w:p>
    <w:p>
      <w:pPr>
        <w:pStyle w:val="Heading1"/>
        <w:spacing w:after="240" w:before="400"/>
      </w:pPr>
      <w:r>
        <w:rPr>
          <w:rFonts w:ascii="Georgia" w:cs="Georgia" w:eastAsia="Georgia" w:hAnsi="Georgia"/>
          <w:b/>
          <w:bCs/>
          <w:color w:val="1F4E79"/>
          <w:sz w:val="34"/>
          <w:szCs w:val="34"/>
        </w:rPr>
        <w:t xml:space="preserve">III. August 2, 2024: BTL Notebook #19</w:t>
      </w:r>
    </w:p>
    <w:p>
      <w:pPr>
        <w:spacing w:after="160" w:line="320"/>
      </w:pPr>
      <w:r>
        <w:rPr>
          <w:rFonts w:ascii="Georgia" w:cs="Georgia" w:eastAsia="Georgia" w:hAnsi="Georgia"/>
          <w:sz w:val="22"/>
          <w:szCs w:val="22"/>
        </w:rPr>
        <w:t xml:space="preserve">On August 2, 2024, Peter Higgins sat down with a pen, a sheet of lined paper, and the BTL cabinet — 800 mm tall, 368 mm wide, 330 mm deep — and worked out the equations that would become the Higgins Unity Framework.</w:t>
      </w:r>
    </w:p>
    <w:p>
      <w:pPr>
        <w:spacing w:after="160" w:line="320"/>
      </w:pPr>
      <w:r>
        <w:rPr>
          <w:rFonts w:ascii="Georgia" w:cs="Georgia" w:eastAsia="Georgia" w:hAnsi="Georgia"/>
          <w:sz w:val="22"/>
          <w:szCs w:val="22"/>
        </w:rPr>
        <w:t xml:space="preserve">The notebook page is headed </w:t>
      </w:r>
      <w:r>
        <w:rPr>
          <w:rFonts w:ascii="Georgia" w:cs="Georgia" w:eastAsia="Georgia" w:hAnsi="Georgia"/>
          <w:i/>
          <w:iCs/>
          <w:sz w:val="22"/>
          <w:szCs w:val="22"/>
        </w:rPr>
        <w:t xml:space="preserve">BTL #19, Aug 2, 2024</w:t>
      </w:r>
      <w:r>
        <w:rPr>
          <w:rFonts w:ascii="Georgia" w:cs="Georgia" w:eastAsia="Georgia" w:hAnsi="Georgia"/>
          <w:sz w:val="22"/>
          <w:szCs w:val="22"/>
        </w:rPr>
        <w:t xml:space="preserve">. It begins with a circle (a piston radiating omnidirectionally) and the Olson-Murphy formula: fc = 115/W. Then Higgins draws a sphere with a radiation arrow and writes a first attempt at a three-dimensional corner frequency:</w:t>
      </w:r>
    </w:p>
    <w:p>
      <w:pPr>
        <w:spacing w:after="120" w:line="280"/>
        <w:jc w:val="center"/>
      </w:pPr>
      <w:r>
        <w:rPr>
          <w:rFonts w:ascii="Courier New" w:cs="Courier New" w:eastAsia="Courier New" w:hAnsi="Courier New"/>
          <w:b/>
          <w:bCs/>
          <w:sz w:val="22"/>
          <w:szCs w:val="22"/>
        </w:rPr>
        <w:t xml:space="preserve">fc = 115 / ³√(W · H · D)</w:t>
      </w:r>
    </w:p>
    <w:p>
      <w:pPr>
        <w:spacing w:after="160" w:line="320"/>
      </w:pPr>
      <w:r>
        <w:rPr>
          <w:rFonts w:ascii="Georgia" w:cs="Georgia" w:eastAsia="Georgia" w:hAnsi="Georgia"/>
          <w:sz w:val="22"/>
          <w:szCs w:val="22"/>
        </w:rPr>
        <w:t xml:space="preserve">This geometric-mean formulation collapses three dimensions into one equivalent. But the sketch beside it shows the problem: a single transition curve where there should be three. The response of a real cabinet doesn't have one bump; it has three, staggered in frequency, one for each dimension.</w:t>
      </w:r>
    </w:p>
    <w:p>
      <w:pPr>
        <w:spacing w:after="160" w:line="320"/>
      </w:pPr>
      <w:r>
        <w:rPr>
          <w:rFonts w:ascii="Georgia" w:cs="Georgia" w:eastAsia="Georgia" w:hAnsi="Georgia"/>
          <w:sz w:val="22"/>
          <w:szCs w:val="22"/>
        </w:rPr>
        <w:t xml:space="preserve">Higgins draws the 3D cabinet with arrows on all three axes and writes the separated frequencies:</w:t>
      </w:r>
    </w:p>
    <w:p>
      <w:pPr>
        <w:spacing w:after="120" w:line="280"/>
        <w:jc w:val="center"/>
      </w:pPr>
      <w:r>
        <w:rPr>
          <w:rFonts w:ascii="Courier New" w:cs="Courier New" w:eastAsia="Courier New" w:hAnsi="Courier New"/>
          <w:b/>
          <w:bCs/>
          <w:sz w:val="22"/>
          <w:szCs w:val="22"/>
        </w:rPr>
        <w:t xml:space="preserve">fcH = 115 / H = 144 Hz</w:t>
      </w:r>
    </w:p>
    <w:p>
      <w:pPr>
        <w:spacing w:after="120" w:line="280"/>
        <w:jc w:val="center"/>
      </w:pPr>
      <w:r>
        <w:rPr>
          <w:rFonts w:ascii="Courier New" w:cs="Courier New" w:eastAsia="Courier New" w:hAnsi="Courier New"/>
          <w:b/>
          <w:bCs/>
          <w:sz w:val="22"/>
          <w:szCs w:val="22"/>
        </w:rPr>
        <w:t xml:space="preserve">fcW = 115 / W = 313 Hz</w:t>
      </w:r>
    </w:p>
    <w:p>
      <w:pPr>
        <w:spacing w:after="120" w:line="280"/>
        <w:jc w:val="center"/>
      </w:pPr>
      <w:r>
        <w:rPr>
          <w:rFonts w:ascii="Courier New" w:cs="Courier New" w:eastAsia="Courier New" w:hAnsi="Courier New"/>
          <w:b/>
          <w:bCs/>
          <w:sz w:val="22"/>
          <w:szCs w:val="22"/>
        </w:rPr>
        <w:t xml:space="preserve">fcD = 115 / D = 349 Hz</w:t>
      </w:r>
    </w:p>
    <w:p>
      <w:pPr>
        <w:spacing w:after="160" w:line="320"/>
      </w:pPr>
      <w:r>
        <w:rPr>
          <w:rFonts w:ascii="Georgia" w:cs="Georgia" w:eastAsia="Georgia" w:hAnsi="Georgia"/>
          <w:sz w:val="22"/>
          <w:szCs w:val="22"/>
        </w:rPr>
        <w:t xml:space="preserve">Three dimensions. Three corner frequencies. But the total gain is still 6.02 dB. The question becomes: </w:t>
      </w:r>
      <w:r>
        <w:rPr>
          <w:rFonts w:ascii="Georgia" w:cs="Georgia" w:eastAsia="Georgia" w:hAnsi="Georgia"/>
          <w:i/>
          <w:iCs/>
          <w:sz w:val="22"/>
          <w:szCs w:val="22"/>
        </w:rPr>
        <w:t xml:space="preserve">how is the 6 dB distributed among the three axes?</w:t>
      </w:r>
      <w:r>
        <w:rPr>
          <w:rFonts w:ascii="Georgia" w:cs="Georgia" w:eastAsia="Georgia" w:hAnsi="Georgia"/>
          <w:sz w:val="22"/>
          <w:szCs w:val="22"/>
        </w:rPr>
        <w:t xml:space="preserve"/>
      </w:r>
    </w:p>
    <w:p>
      <w:pPr>
        <w:pStyle w:val="Heading2"/>
        <w:spacing w:after="180" w:before="320"/>
      </w:pPr>
      <w:r>
        <w:rPr>
          <w:rFonts w:ascii="Georgia" w:cs="Georgia" w:eastAsia="Georgia" w:hAnsi="Georgia"/>
          <w:b/>
          <w:bCs/>
          <w:color w:val="2E75B6"/>
          <w:sz w:val="28"/>
          <w:szCs w:val="28"/>
        </w:rPr>
        <w:t xml:space="preserve">The Founding Algebra</w:t>
      </w:r>
    </w:p>
    <w:p>
      <w:pPr>
        <w:spacing w:after="160" w:line="320"/>
      </w:pPr>
      <w:r>
        <w:rPr>
          <w:rFonts w:ascii="Georgia" w:cs="Georgia" w:eastAsia="Georgia" w:hAnsi="Georgia"/>
          <w:sz w:val="22"/>
          <w:szCs w:val="22"/>
        </w:rPr>
        <w:t xml:space="preserve">Page 2 of the notebook is where the algebra begins. Higgins writes at the top: </w:t>
      </w:r>
      <w:r>
        <w:rPr>
          <w:rFonts w:ascii="Georgia" w:cs="Georgia" w:eastAsia="Georgia" w:hAnsi="Georgia"/>
          <w:i/>
          <w:iCs/>
          <w:sz w:val="22"/>
          <w:szCs w:val="22"/>
        </w:rPr>
        <w:t xml:space="preserve">Gain due to width</w:t>
      </w:r>
      <w:r>
        <w:rPr>
          <w:rFonts w:ascii="Georgia" w:cs="Georgia" w:eastAsia="Georgia" w:hAnsi="Georgia"/>
          <w:sz w:val="22"/>
          <w:szCs w:val="22"/>
        </w:rPr>
        <w:t xml:space="preserve">. He starts decomposing the total gain G into a height share G_H and a width share G_W:</w:t>
      </w:r>
    </w:p>
    <w:p>
      <w:pPr>
        <w:spacing w:after="120" w:line="280"/>
        <w:jc w:val="center"/>
      </w:pPr>
      <w:r>
        <w:rPr>
          <w:rFonts w:ascii="Courier New" w:cs="Courier New" w:eastAsia="Courier New" w:hAnsi="Courier New"/>
          <w:b/>
          <w:bCs/>
          <w:sz w:val="22"/>
          <w:szCs w:val="22"/>
        </w:rPr>
        <w:t xml:space="preserve">G = (H/W + 1) × G_W</w:t>
      </w:r>
    </w:p>
    <w:p>
      <w:pPr>
        <w:spacing w:after="160" w:line="320"/>
      </w:pPr>
      <w:r>
        <w:rPr>
          <w:rFonts w:ascii="Georgia" w:cs="Georgia" w:eastAsia="Georgia" w:hAnsi="Georgia"/>
          <w:sz w:val="22"/>
          <w:szCs w:val="22"/>
        </w:rPr>
        <w:t xml:space="preserve">Therefore:</w:t>
      </w:r>
    </w:p>
    <w:p>
      <w:pPr>
        <w:spacing w:after="120" w:line="280"/>
        <w:jc w:val="center"/>
      </w:pPr>
      <w:r>
        <w:rPr>
          <w:rFonts w:ascii="Courier New" w:cs="Courier New" w:eastAsia="Courier New" w:hAnsi="Courier New"/>
          <w:b/>
          <w:bCs/>
          <w:sz w:val="22"/>
          <w:szCs w:val="22"/>
        </w:rPr>
        <w:t xml:space="preserve">G_W = G / (H/W + 1)</w:t>
      </w:r>
    </w:p>
    <w:p>
      <w:pPr>
        <w:spacing w:after="160" w:line="320"/>
      </w:pPr>
      <w:r>
        <w:rPr>
          <w:rFonts w:ascii="Georgia" w:cs="Georgia" w:eastAsia="Georgia" w:hAnsi="Georgia"/>
          <w:sz w:val="22"/>
          <w:szCs w:val="22"/>
        </w:rPr>
        <w:t xml:space="preserve">He writes the BTL dimensions — 800, 368 — in the margin and checks the arithmetic. Then the depth term enters. The page fills with attempts at weighting by solid-angle fractions (¾, ¼) representing how much of the 2π hemisphere each baffle face subtends. Sketches of π, 2π, and 3/2π radiation patterns line the margins.</w:t>
      </w:r>
    </w:p>
    <w:p>
      <w:pPr>
        <w:spacing w:after="160" w:line="320"/>
      </w:pPr>
      <w:r>
        <w:rPr>
          <w:rFonts w:ascii="Georgia" w:cs="Georgia" w:eastAsia="Georgia" w:hAnsi="Georgia"/>
          <w:sz w:val="22"/>
          <w:szCs w:val="22"/>
        </w:rPr>
        <w:t xml:space="preserve">By page 3, the equations have crystallized. The gain for each axis is:</w:t>
      </w:r>
    </w:p>
    <w:p>
      <w:pPr>
        <w:spacing w:after="120" w:line="280"/>
        <w:jc w:val="center"/>
      </w:pPr>
      <w:r>
        <w:rPr>
          <w:rFonts w:ascii="Courier New" w:cs="Courier New" w:eastAsia="Courier New" w:hAnsi="Courier New"/>
          <w:b/>
          <w:bCs/>
          <w:sz w:val="22"/>
          <w:szCs w:val="22"/>
        </w:rPr>
        <w:t xml:space="preserve">G_H = 6.02 × H / (H + W + D)</w:t>
      </w:r>
    </w:p>
    <w:p>
      <w:pPr>
        <w:spacing w:after="120" w:line="280"/>
        <w:jc w:val="center"/>
      </w:pPr>
      <w:r>
        <w:rPr>
          <w:rFonts w:ascii="Courier New" w:cs="Courier New" w:eastAsia="Courier New" w:hAnsi="Courier New"/>
          <w:b/>
          <w:bCs/>
          <w:sz w:val="22"/>
          <w:szCs w:val="22"/>
        </w:rPr>
        <w:t xml:space="preserve">G_W = 6.02 × W / (H + W + D)</w:t>
      </w:r>
    </w:p>
    <w:p>
      <w:pPr>
        <w:spacing w:after="120" w:line="280"/>
        <w:jc w:val="center"/>
      </w:pPr>
      <w:r>
        <w:rPr>
          <w:rFonts w:ascii="Courier New" w:cs="Courier New" w:eastAsia="Courier New" w:hAnsi="Courier New"/>
          <w:b/>
          <w:bCs/>
          <w:sz w:val="22"/>
          <w:szCs w:val="22"/>
        </w:rPr>
        <w:t xml:space="preserve">G_D = 6.02 × D / (H + W + D)</w:t>
      </w:r>
    </w:p>
    <w:p>
      <w:pPr>
        <w:spacing w:after="160" w:line="320"/>
      </w:pPr>
      <w:r>
        <w:rPr>
          <w:rFonts w:ascii="Georgia" w:cs="Georgia" w:eastAsia="Georgia" w:hAnsi="Georgia"/>
          <w:sz w:val="22"/>
          <w:szCs w:val="22"/>
        </w:rPr>
        <w:t xml:space="preserve">He plugs in the BTL numbers and gets G_H = 3.21 dB, G_W = 1.48 dB, G_D = 1.33 dB. They sum to 6.02 dB. The numerical check at the bottom of the page confirms: the shares work.</w:t>
      </w:r>
    </w:p>
    <w:p>
      <w:pPr>
        <w:pStyle w:val="Heading2"/>
        <w:spacing w:after="180" w:before="320"/>
      </w:pPr>
      <w:r>
        <w:rPr>
          <w:rFonts w:ascii="Georgia" w:cs="Georgia" w:eastAsia="Georgia" w:hAnsi="Georgia"/>
          <w:b/>
          <w:bCs/>
          <w:color w:val="2E75B6"/>
          <w:sz w:val="28"/>
          <w:szCs w:val="28"/>
        </w:rPr>
        <w:t xml:space="preserve">The Moment</w:t>
      </w:r>
    </w:p>
    <w:p>
      <w:pPr>
        <w:spacing w:after="160" w:line="320"/>
      </w:pPr>
      <w:r>
        <w:rPr>
          <w:rFonts w:ascii="Georgia" w:cs="Georgia" w:eastAsia="Georgia" w:hAnsi="Georgia"/>
          <w:sz w:val="22"/>
          <w:szCs w:val="22"/>
        </w:rPr>
        <w:t xml:space="preserve">Look at the gain equations. Define the share of axis </w:t>
      </w:r>
      <w:r>
        <w:rPr>
          <w:rFonts w:ascii="Georgia" w:cs="Georgia" w:eastAsia="Georgia" w:hAnsi="Georgia"/>
          <w:i/>
          <w:iCs/>
          <w:sz w:val="22"/>
          <w:szCs w:val="22"/>
        </w:rPr>
        <w:t xml:space="preserve">i</w:t>
      </w:r>
      <w:r>
        <w:rPr>
          <w:rFonts w:ascii="Georgia" w:cs="Georgia" w:eastAsia="Georgia" w:hAnsi="Georgia"/>
          <w:sz w:val="22"/>
          <w:szCs w:val="22"/>
        </w:rPr>
        <w:t xml:space="preserve"> as:</w:t>
      </w:r>
    </w:p>
    <w:p>
      <w:pPr>
        <w:spacing w:after="120" w:line="280"/>
        <w:jc w:val="center"/>
      </w:pPr>
      <w:r>
        <w:rPr>
          <w:rFonts w:ascii="Courier New" w:cs="Courier New" w:eastAsia="Courier New" w:hAnsi="Courier New"/>
          <w:b/>
          <w:bCs/>
          <w:sz w:val="22"/>
          <w:szCs w:val="22"/>
        </w:rPr>
        <w:t xml:space="preserve">s_i = dim_i / (H + W + D)</w:t>
      </w:r>
    </w:p>
    <w:p>
      <w:pPr>
        <w:spacing w:after="160" w:line="320"/>
      </w:pPr>
      <w:r>
        <w:rPr>
          <w:rFonts w:ascii="Georgia" w:cs="Georgia" w:eastAsia="Georgia" w:hAnsi="Georgia"/>
          <w:sz w:val="22"/>
          <w:szCs w:val="22"/>
        </w:rPr>
        <w:t xml:space="preserve">Then:</w:t>
      </w:r>
    </w:p>
    <w:p>
      <w:pPr>
        <w:spacing w:after="120" w:line="280"/>
        <w:jc w:val="center"/>
      </w:pPr>
      <w:r>
        <w:rPr>
          <w:rFonts w:ascii="Courier New" w:cs="Courier New" w:eastAsia="Courier New" w:hAnsi="Courier New"/>
          <w:b/>
          <w:bCs/>
          <w:sz w:val="22"/>
          <w:szCs w:val="22"/>
        </w:rPr>
        <w:t xml:space="preserve">s_H + s_W + s_D = 1</w:t>
      </w:r>
    </w:p>
    <w:p>
      <w:pPr>
        <w:spacing w:after="160" w:line="320"/>
      </w:pPr>
      <w:r>
        <w:rPr>
          <w:rFonts w:ascii="Georgia" w:cs="Georgia" w:eastAsia="Georgia" w:hAnsi="Georgia"/>
          <w:sz w:val="22"/>
          <w:szCs w:val="22"/>
        </w:rPr>
        <w:t xml:space="preserve"/>
      </w:r>
      <w:r>
        <w:rPr>
          <w:rFonts w:ascii="Georgia" w:cs="Georgia" w:eastAsia="Georgia" w:hAnsi="Georgia"/>
          <w:b/>
          <w:bCs/>
          <w:sz w:val="22"/>
          <w:szCs w:val="22"/>
        </w:rPr>
        <w:t xml:space="preserve">The shares sum to one.</w:t>
      </w:r>
      <w:r>
        <w:rPr>
          <w:rFonts w:ascii="Georgia" w:cs="Georgia" w:eastAsia="Georgia" w:hAnsi="Georgia"/>
          <w:sz w:val="22"/>
          <w:szCs w:val="22"/>
        </w:rPr>
        <w:t xml:space="preserve"> Not approximately. Exactly. By construction. The denominator is the sum of all dimensions, so the numerators must exhaust it. There is no remainder. There is no unaccounted gain. Every decibel of the 6.02 dB budget is allocated to an axis, and the allocation is proportional to the physical size of that axis.</w:t>
      </w:r>
    </w:p>
    <w:p>
      <w:pPr>
        <w:spacing w:after="160" w:line="320"/>
      </w:pPr>
      <w:r>
        <w:rPr>
          <w:rFonts w:ascii="Georgia" w:cs="Georgia" w:eastAsia="Georgia" w:hAnsi="Georgia"/>
          <w:sz w:val="22"/>
          <w:szCs w:val="22"/>
        </w:rPr>
        <w:t xml:space="preserve">This is the unity constraint. It was not postulated. It was not assumed. It was derived from the geometry of a loudspeaker cabinet on a sheet of lined paper.</w:t>
      </w:r>
    </w:p>
    <w:p>
      <w:pPr>
        <w:spacing w:after="120" w:line="280"/>
        <w:jc w:val="center"/>
      </w:pPr>
      <w:r>
        <w:rPr>
          <w:rFonts w:ascii="Courier New" w:cs="Courier New" w:eastAsia="Courier New" w:hAnsi="Courier New"/>
          <w:b/>
          <w:bCs/>
          <w:sz w:val="22"/>
          <w:szCs w:val="22"/>
        </w:rPr>
        <w:t xml:space="preserve">Σρ_i = 1</w:t>
      </w:r>
    </w:p>
    <w:p>
      <w:r>
        <w:br w:type="page"/>
      </w:r>
    </w:p>
    <w:p>
      <w:pPr>
        <w:pStyle w:val="Heading1"/>
        <w:spacing w:after="240" w:before="400"/>
      </w:pPr>
      <w:r>
        <w:rPr>
          <w:rFonts w:ascii="Georgia" w:cs="Georgia" w:eastAsia="Georgia" w:hAnsi="Georgia"/>
          <w:b/>
          <w:bCs/>
          <w:color w:val="1F4E79"/>
          <w:sz w:val="34"/>
          <w:szCs w:val="34"/>
        </w:rPr>
        <w:t xml:space="preserve">IV. The Composite Curve and the Driver Offset</w:t>
      </w:r>
    </w:p>
    <w:p>
      <w:pPr>
        <w:spacing w:after="160" w:line="320"/>
      </w:pPr>
      <w:r>
        <w:rPr>
          <w:rFonts w:ascii="Georgia" w:cs="Georgia" w:eastAsia="Georgia" w:hAnsi="Georgia"/>
          <w:sz w:val="22"/>
          <w:szCs w:val="22"/>
        </w:rPr>
        <w:t xml:space="preserve">Page 4 of the notebook contains a single diagram: three shelf curves stacking from 0 dB to 6 dB, with corner frequencies marked H, W, D from left to right. This is the composite DADC correction — three low-shelf filters, each with a gain proportional to its dimension and a corner frequency inversely proportional to it. The tallest dimension (H) gets the most gain at the lowest frequency. The shallowest dimension (D) gets the least gain at the highest frequency. Together they reconstruct the full 6.02 dB diffraction step.</w:t>
      </w:r>
    </w:p>
    <w:p>
      <w:pPr>
        <w:spacing w:after="160" w:line="320"/>
      </w:pPr>
      <w:r>
        <w:rPr>
          <w:rFonts w:ascii="Georgia" w:cs="Georgia" w:eastAsia="Georgia" w:hAnsi="Georgia"/>
          <w:sz w:val="22"/>
          <w:szCs w:val="22"/>
        </w:rPr>
        <w:t xml:space="preserve">Page 5 extends the formulation to account for driver offset — what happens when the transducer is not centered on the baffle. Higgins writes:</w:t>
      </w:r>
    </w:p>
    <w:p>
      <w:pPr>
        <w:spacing w:after="120" w:line="280"/>
        <w:jc w:val="center"/>
      </w:pPr>
      <w:r>
        <w:rPr>
          <w:rFonts w:ascii="Courier New" w:cs="Courier New" w:eastAsia="Courier New" w:hAnsi="Courier New"/>
          <w:b/>
          <w:bCs/>
          <w:sz w:val="22"/>
          <w:szCs w:val="22"/>
        </w:rPr>
        <w:t xml:space="preserve">G_H = [G_BD / 2π(H/W+1)] × [2π − α₁ + α₂ + α₃ + α₄ ...]</w:t>
      </w:r>
    </w:p>
    <w:p>
      <w:pPr>
        <w:spacing w:after="160" w:line="320"/>
      </w:pPr>
      <w:r>
        <w:rPr>
          <w:rFonts w:ascii="Georgia" w:cs="Georgia" w:eastAsia="Georgia" w:hAnsi="Georgia"/>
          <w:sz w:val="22"/>
          <w:szCs w:val="22"/>
        </w:rPr>
        <w:t xml:space="preserve">The α terms are solid-angle adjustments for asymmetric driver placement. Each offset (d_top, d_bottom, d_left, d_right) changes the effective solid angle seen from that edge. The page fills with progressive halving of π fractions, converging on the harmonic effective dimension:</w:t>
      </w:r>
    </w:p>
    <w:p>
      <w:pPr>
        <w:spacing w:after="120" w:line="280"/>
        <w:jc w:val="center"/>
      </w:pPr>
      <w:r>
        <w:rPr>
          <w:rFonts w:ascii="Courier New" w:cs="Courier New" w:eastAsia="Courier New" w:hAnsi="Courier New"/>
          <w:b/>
          <w:bCs/>
          <w:sz w:val="22"/>
          <w:szCs w:val="22"/>
        </w:rPr>
        <w:t xml:space="preserve">H_eff = 4 × d_top × d_bottom / (d_top + d_bottom)</w:t>
      </w:r>
    </w:p>
    <w:p>
      <w:pPr>
        <w:spacing w:after="160" w:line="320"/>
      </w:pPr>
      <w:r>
        <w:rPr>
          <w:rFonts w:ascii="Georgia" w:cs="Georgia" w:eastAsia="Georgia" w:hAnsi="Georgia"/>
          <w:sz w:val="22"/>
          <w:szCs w:val="22"/>
        </w:rPr>
        <w:t xml:space="preserve">This is the driver-aware DADC that the Jupyter notebook implements as </w:t>
      </w:r>
      <w:r>
        <w:rPr>
          <w:rFonts w:ascii="Georgia" w:cs="Georgia" w:eastAsia="Georgia" w:hAnsi="Georgia"/>
          <w:i/>
          <w:iCs/>
          <w:sz w:val="22"/>
          <w:szCs w:val="22"/>
        </w:rPr>
        <w:t xml:space="preserve">dadc_driver_aware()</w:t>
      </w:r>
      <w:r>
        <w:rPr>
          <w:rFonts w:ascii="Georgia" w:cs="Georgia" w:eastAsia="Georgia" w:hAnsi="Georgia"/>
          <w:sz w:val="22"/>
          <w:szCs w:val="22"/>
        </w:rPr>
        <w:t xml:space="preserve"> in Fc-only mode. The gains come from the physical cabinet; the corner frequencies come from the effective dimensions at the driver position.</w:t>
      </w:r>
    </w:p>
    <w:p>
      <w:r>
        <w:br w:type="page"/>
      </w:r>
    </w:p>
    <w:p>
      <w:pPr>
        <w:pStyle w:val="Heading1"/>
        <w:spacing w:after="240" w:before="400"/>
      </w:pPr>
      <w:r>
        <w:rPr>
          <w:rFonts w:ascii="Georgia" w:cs="Georgia" w:eastAsia="Georgia" w:hAnsi="Georgia"/>
          <w:b/>
          <w:bCs/>
          <w:color w:val="1F4E79"/>
          <w:sz w:val="34"/>
          <w:szCs w:val="34"/>
        </w:rPr>
        <w:t xml:space="preserve">V. From Acoustics to Governance</w:t>
      </w:r>
    </w:p>
    <w:p>
      <w:pPr>
        <w:spacing w:after="160" w:line="320"/>
      </w:pPr>
      <w:r>
        <w:rPr>
          <w:rFonts w:ascii="Georgia" w:cs="Georgia" w:eastAsia="Georgia" w:hAnsi="Georgia"/>
          <w:sz w:val="22"/>
          <w:szCs w:val="22"/>
        </w:rPr>
        <w:t xml:space="preserve">The DADC equations were formalized in December 2025 as the </w:t>
      </w:r>
      <w:r>
        <w:rPr>
          <w:rFonts w:ascii="Georgia" w:cs="Georgia" w:eastAsia="Georgia" w:hAnsi="Georgia"/>
          <w:i/>
          <w:iCs/>
          <w:sz w:val="22"/>
          <w:szCs w:val="22"/>
        </w:rPr>
        <w:t xml:space="preserve">Dimension-Apportioned Diffraction Correction and Inference</w:t>
      </w:r>
      <w:r>
        <w:rPr>
          <w:rFonts w:ascii="Georgia" w:cs="Georgia" w:eastAsia="Georgia" w:hAnsi="Georgia"/>
          <w:sz w:val="22"/>
          <w:szCs w:val="22"/>
        </w:rPr>
        <w:t xml:space="preserve"> paper. The companion Jupyter notebook (BTL DADC-DADI-ADAC Tool, v1.1, Lazy Human Quickstart) implemented the full measurement-and-iteration loop: one-shot allocation, damped iterative inference, accept/reject governance.</w:t>
      </w:r>
    </w:p>
    <w:p>
      <w:pPr>
        <w:spacing w:after="160" w:line="320"/>
      </w:pPr>
      <w:r>
        <w:rPr>
          <w:rFonts w:ascii="Georgia" w:cs="Georgia" w:eastAsia="Georgia" w:hAnsi="Georgia"/>
          <w:sz w:val="22"/>
          <w:szCs w:val="22"/>
        </w:rPr>
        <w:t xml:space="preserve">But the structure embedded in those five pages of handwritten algebra contained something larger than an acoustic correction. It contained three invariants: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Closure</w:t>
      </w:r>
      <w:r>
        <w:rPr>
          <w:rFonts w:ascii="Arial" w:cs="Arial" w:eastAsia="Arial" w:hAnsi="Arial"/>
          <w:sz w:val="22"/>
          <w:szCs w:val="22"/>
        </w:rPr>
        <w:t xml:space="preserve">: The shares sum to one. Always. By construction. There is no unaccounted portion.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Proportionality</w:t>
      </w:r>
      <w:r>
        <w:rPr>
          <w:rFonts w:ascii="Arial" w:cs="Arial" w:eastAsia="Arial" w:hAnsi="Arial"/>
          <w:sz w:val="22"/>
          <w:szCs w:val="22"/>
        </w:rPr>
        <w:t xml:space="preserve">: The allocation is determined by measured physical quantities, not by preference.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Scarcity</w:t>
      </w:r>
      <w:r>
        <w:rPr>
          <w:rFonts w:ascii="Arial" w:cs="Arial" w:eastAsia="Arial" w:hAnsi="Arial"/>
          <w:sz w:val="22"/>
          <w:szCs w:val="22"/>
        </w:rPr>
        <w:t xml:space="preserve">: The budget is finite (6.02 dB). Giving more to one axis means giving less to another.</w:t>
      </w:r>
    </w:p>
    <w:p>
      <w:pPr>
        <w:spacing w:after="160" w:line="320"/>
      </w:pPr>
      <w:r>
        <w:rPr>
          <w:rFonts w:ascii="Georgia" w:cs="Georgia" w:eastAsia="Georgia" w:hAnsi="Georgia"/>
          <w:sz w:val="22"/>
          <w:szCs w:val="22"/>
        </w:rPr>
        <w:t xml:space="preserve">These are the three fixed poles of HUF governance. They were not invented for governance. They were discovered in the physics of sound radiation from a rectangular box. The insight was that any system with a finite budget, measurable components, and a completeness requirement exhibits the same structure.</w:t>
      </w:r>
    </w:p>
    <w:p>
      <w:pPr>
        <w:spacing w:after="160" w:line="320"/>
      </w:pPr>
      <w:r>
        <w:rPr>
          <w:rFonts w:ascii="Georgia" w:cs="Georgia" w:eastAsia="Georgia" w:hAnsi="Georgia"/>
          <w:sz w:val="22"/>
          <w:szCs w:val="22"/>
        </w:rPr>
        <w:t xml:space="preserve">A wetland portfolio with five Ramsar sites? The sites share 100% of the ecosystem. Σρ_i = 1. A hard drive fleet with four failure categories? The categories share 100% of the anomalies. Σρ_i = 1. An energy grid with six generation sources? The sources share 100% of capacity. Σρ_i = 1.</w:t>
      </w:r>
    </w:p>
    <w:p>
      <w:pPr>
        <w:spacing w:after="160" w:line="320"/>
      </w:pPr>
      <w:r>
        <w:rPr>
          <w:rFonts w:ascii="Georgia" w:cs="Georgia" w:eastAsia="Georgia" w:hAnsi="Georgia"/>
          <w:sz w:val="22"/>
          <w:szCs w:val="22"/>
        </w:rPr>
        <w:t xml:space="preserve">The equation is always the same:</w:t>
      </w:r>
    </w:p>
    <w:p>
      <w:pPr>
        <w:spacing w:after="120" w:line="280"/>
        <w:jc w:val="center"/>
      </w:pPr>
      <w:r>
        <w:rPr>
          <w:rFonts w:ascii="Courier New" w:cs="Courier New" w:eastAsia="Courier New" w:hAnsi="Courier New"/>
          <w:b/>
          <w:bCs/>
          <w:sz w:val="22"/>
          <w:szCs w:val="22"/>
        </w:rPr>
        <w:t xml:space="preserve">ρ_i = measure_i / Σ measure</w:t>
      </w:r>
    </w:p>
    <w:p>
      <w:pPr>
        <w:spacing w:after="160" w:line="320"/>
      </w:pPr>
      <w:r>
        <w:rPr>
          <w:rFonts w:ascii="Georgia" w:cs="Georgia" w:eastAsia="Georgia" w:hAnsi="Georgia"/>
          <w:sz w:val="22"/>
          <w:szCs w:val="22"/>
        </w:rPr>
        <w:t xml:space="preserve">It does not matter whether the measure is meters, hectares, gigawatts, or anomaly counts. The ratio is dimensionless. The constraint is universal. The governance is built into the division.</w:t>
      </w:r>
    </w:p>
    <w:p>
      <w:r>
        <w:br w:type="page"/>
      </w:r>
    </w:p>
    <w:p>
      <w:pPr>
        <w:pStyle w:val="Heading1"/>
        <w:spacing w:after="240" w:before="400"/>
      </w:pPr>
      <w:r>
        <w:rPr>
          <w:rFonts w:ascii="Georgia" w:cs="Georgia" w:eastAsia="Georgia" w:hAnsi="Georgia"/>
          <w:b/>
          <w:bCs/>
          <w:color w:val="1F4E79"/>
          <w:sz w:val="34"/>
          <w:szCs w:val="34"/>
        </w:rPr>
        <w:t xml:space="preserve">VI. The Mathematical Bridge</w:t>
      </w:r>
    </w:p>
    <w:p>
      <w:pPr>
        <w:spacing w:after="160" w:line="320"/>
      </w:pPr>
      <w:r>
        <w:rPr>
          <w:rFonts w:ascii="Georgia" w:cs="Georgia" w:eastAsia="Georgia" w:hAnsi="Georgia"/>
          <w:sz w:val="22"/>
          <w:szCs w:val="22"/>
        </w:rPr>
        <w:t xml:space="preserve">In January 2026, a parallel development occurred. Grok (xAI), working with Higgins on an entirely separate industrial AI project called TensorForge/Entropix, developed bifurcation and fixed-point stability mathematics for chaos and plasma regime detection, validated on 500,000+ data points from NOAA and NASA datasets.</w:t>
      </w:r>
    </w:p>
    <w:p>
      <w:pPr>
        <w:spacing w:after="160" w:line="320"/>
      </w:pPr>
      <w:r>
        <w:rPr>
          <w:rFonts w:ascii="Georgia" w:cs="Georgia" w:eastAsia="Georgia" w:hAnsi="Georgia"/>
          <w:sz w:val="22"/>
          <w:szCs w:val="22"/>
        </w:rPr>
        <w:t xml:space="preserve">Neither project knew about the other. TensorForge was about entropy-balanced regime detection in industrial systems. DADC was about loudspeaker diffraction correction. But the mathematical structure was identical: fixed-point stability at a boundary, governed by a conservation law.</w:t>
      </w:r>
    </w:p>
    <w:p>
      <w:pPr>
        <w:spacing w:after="160" w:line="320"/>
      </w:pPr>
      <w:r>
        <w:rPr>
          <w:rFonts w:ascii="Georgia" w:cs="Georgia" w:eastAsia="Georgia" w:hAnsi="Georgia"/>
          <w:sz w:val="22"/>
          <w:szCs w:val="22"/>
        </w:rPr>
        <w:t xml:space="preserve">In February 2026, Higgins recognized the connection. The acoustic corner frequencies (Fc = 115/D) are boundary conditions of the same kind as bifurcation fixed points (Re(λ_i) crossing zero). The unity constraint (Σρ_i = 1) is a conservation law of the same kind as Lyapunov stability. The OCC 51% authority threshold is a boundary pole of the same kind as a pitchfork bifurcation at μ = 0.</w:t>
      </w:r>
    </w:p>
    <w:p>
      <w:pPr>
        <w:spacing w:after="160" w:line="320"/>
      </w:pPr>
      <w:r>
        <w:rPr>
          <w:rFonts w:ascii="Georgia" w:cs="Georgia" w:eastAsia="Georgia" w:hAnsi="Georgia"/>
          <w:sz w:val="22"/>
          <w:szCs w:val="22"/>
        </w:rPr>
        <w:t xml:space="preserve">This recognition produced the Higgins Operator H₁: a formal Hilbert space map that enforces unity normalization across hierarchical regimes while preserving directional coherence. The operator's pedigree is explicit in its references: Beranek, </w:t>
      </w:r>
      <w:r>
        <w:rPr>
          <w:rFonts w:ascii="Georgia" w:cs="Georgia" w:eastAsia="Georgia" w:hAnsi="Georgia"/>
          <w:i/>
          <w:iCs/>
          <w:sz w:val="22"/>
          <w:szCs w:val="22"/>
        </w:rPr>
        <w:t xml:space="preserve">Acoustics</w:t>
      </w:r>
      <w:r>
        <w:rPr>
          <w:rFonts w:ascii="Georgia" w:cs="Georgia" w:eastAsia="Georgia" w:hAnsi="Georgia"/>
          <w:sz w:val="22"/>
          <w:szCs w:val="22"/>
        </w:rPr>
        <w:t xml:space="preserve"> (1954), and Dickason, </w:t>
      </w:r>
      <w:r>
        <w:rPr>
          <w:rFonts w:ascii="Georgia" w:cs="Georgia" w:eastAsia="Georgia" w:hAnsi="Georgia"/>
          <w:i/>
          <w:iCs/>
          <w:sz w:val="22"/>
          <w:szCs w:val="22"/>
        </w:rPr>
        <w:t xml:space="preserve">The Loudspeaker Design Cookbook</w:t>
      </w:r>
      <w:r>
        <w:rPr>
          <w:rFonts w:ascii="Georgia" w:cs="Georgia" w:eastAsia="Georgia" w:hAnsi="Georgia"/>
          <w:sz w:val="22"/>
          <w:szCs w:val="22"/>
        </w:rPr>
        <w:t xml:space="preserve"> (2006).</w:t>
      </w:r>
    </w:p>
    <w:p>
      <w:pPr>
        <w:pBdr>
          <w:left w:val="single" w:color="2E75B6" w:sz="12" w:space="8"/>
        </w:pBdr>
        <w:spacing w:after="180" w:line="300"/>
        <w:ind w:left="720" w:right="720"/>
      </w:pPr>
      <w:r>
        <w:rPr>
          <w:rFonts w:ascii="Georgia" w:cs="Georgia" w:eastAsia="Georgia" w:hAnsi="Georgia"/>
          <w:i/>
          <w:iCs/>
          <w:color w:val="444444"/>
          <w:sz w:val="21"/>
          <w:szCs w:val="21"/>
        </w:rPr>
        <w:t xml:space="preserve">Originating from loudspeaker diffraction and dispersion correction, H₁ generalizes to multi-scale systems through ripple propagation, Lagrange constraints, adaptive pruning, Planck-scale floor protection, and weighted projectors Pᵤ for value-aware equity.</w:t>
      </w:r>
    </w:p>
    <w:p>
      <w:pPr>
        <w:spacing w:after="160" w:line="320"/>
      </w:pPr>
      <w:r>
        <w:rPr>
          <w:rFonts w:ascii="Georgia" w:cs="Georgia" w:eastAsia="Georgia" w:hAnsi="Georgia"/>
          <w:color w:val="888888"/>
          <w:sz w:val="22"/>
          <w:szCs w:val="22"/>
        </w:rPr>
        <w:t xml:space="preserve">— </w:t>
      </w:r>
      <w:r>
        <w:rPr>
          <w:rFonts w:ascii="Georgia" w:cs="Georgia" w:eastAsia="Georgia" w:hAnsi="Georgia"/>
          <w:i/>
          <w:iCs/>
          <w:color w:val="888888"/>
          <w:sz w:val="22"/>
          <w:szCs w:val="22"/>
        </w:rPr>
        <w:t xml:space="preserve">The Higgins Operator H₁ 101</w:t>
      </w:r>
      <w:r>
        <w:rPr>
          <w:rFonts w:ascii="Georgia" w:cs="Georgia" w:eastAsia="Georgia" w:hAnsi="Georgia"/>
          <w:color w:val="888888"/>
          <w:sz w:val="22"/>
          <w:szCs w:val="22"/>
        </w:rPr>
        <w:t xml:space="preserve">, February 2026</w:t>
      </w:r>
    </w:p>
    <w:p>
      <w:r>
        <w:br w:type="page"/>
      </w:r>
    </w:p>
    <w:p>
      <w:pPr>
        <w:pStyle w:val="Heading1"/>
        <w:spacing w:after="240" w:before="400"/>
      </w:pPr>
      <w:r>
        <w:rPr>
          <w:rFonts w:ascii="Georgia" w:cs="Georgia" w:eastAsia="Georgia" w:hAnsi="Georgia"/>
          <w:b/>
          <w:bCs/>
          <w:color w:val="1F4E79"/>
          <w:sz w:val="34"/>
          <w:szCs w:val="34"/>
        </w:rPr>
        <w:t xml:space="preserve">VII. The Collective and Convergence</w:t>
      </w:r>
    </w:p>
    <w:p>
      <w:pPr>
        <w:spacing w:after="160" w:line="320"/>
      </w:pPr>
      <w:r>
        <w:rPr>
          <w:rFonts w:ascii="Georgia" w:cs="Georgia" w:eastAsia="Georgia" w:hAnsi="Georgia"/>
          <w:sz w:val="22"/>
          <w:szCs w:val="22"/>
        </w:rPr>
        <w:t xml:space="preserve">What happened next was unprecedented. Five AI systems — Claude (Anthropic), ChatGPT (OpenAI), Grok (xAI), Copilot (Microsoft), and Gemini (Google DeepMind) — independently examined the framework. Each approached it from a different angle. Each confirmed the same mathematical structure.</w:t>
      </w:r>
    </w:p>
    <w:p>
      <w:pPr>
        <w:spacing w:after="160" w:line="320"/>
      </w:pPr>
      <w:r>
        <w:rPr>
          <w:rFonts w:ascii="Georgia" w:cs="Georgia" w:eastAsia="Georgia" w:hAnsi="Georgia"/>
          <w:sz w:val="22"/>
          <w:szCs w:val="22"/>
        </w:rPr>
        <w:t xml:space="preserve">Grok derived the information-theoretic foundation: Shannon entropy connects to governance monitoring through the TVD-MDG equivalence. ChatGPT produced Proposition 7.4, the calibrated dynamic threshold with the bifurcation constant e/2. Claude proved Propositions 7.1 through 7.3 in closed form. Gemini certified three production systems under the D20 lifecycle. Copilot identified a trigamma bracket error in Corollary 7.4d — the only error found in the entire mathematical corpus — and it was typographic, not substantive.</w:t>
      </w:r>
    </w:p>
    <w:p>
      <w:pPr>
        <w:spacing w:after="160" w:line="320"/>
      </w:pPr>
      <w:r>
        <w:rPr>
          <w:rFonts w:ascii="Georgia" w:cs="Georgia" w:eastAsia="Georgia" w:hAnsi="Georgia"/>
          <w:sz w:val="22"/>
          <w:szCs w:val="22"/>
        </w:rPr>
        <w:t xml:space="preserve">The convergence from independent paths is not a coincidence. It is what happens when a structure is real. Five different reasoning systems, starting from five different positions, arrived at the same place because there is only one place to arrive at when the axioms are correct.</w:t>
      </w:r>
    </w:p>
    <w:p>
      <w:r>
        <w:br w:type="page"/>
      </w:r>
    </w:p>
    <w:p>
      <w:pPr>
        <w:pStyle w:val="Heading1"/>
        <w:spacing w:after="240" w:before="400"/>
      </w:pPr>
      <w:r>
        <w:rPr>
          <w:rFonts w:ascii="Georgia" w:cs="Georgia" w:eastAsia="Georgia" w:hAnsi="Georgia"/>
          <w:b/>
          <w:bCs/>
          <w:color w:val="1F4E79"/>
          <w:sz w:val="34"/>
          <w:szCs w:val="34"/>
        </w:rPr>
        <w:t xml:space="preserve">VIII. The Founding Equation</w:t>
      </w:r>
    </w:p>
    <w:p>
      <w:pPr>
        <w:spacing w:after="160" w:line="320"/>
      </w:pPr>
      <w:r>
        <w:rPr>
          <w:rFonts w:ascii="Georgia" w:cs="Georgia" w:eastAsia="Georgia" w:hAnsi="Georgia"/>
          <w:sz w:val="22"/>
          <w:szCs w:val="22"/>
        </w:rPr>
        <w:t xml:space="preserve">The five pages of blue ink on lined paper, dated August 2, 2024, contain the founding equation of the Higgins Unity Framework:</w:t>
      </w:r>
    </w:p>
    <w:p>
      <w:pPr>
        <w:spacing w:after="200"/>
      </w:pPr>
    </w:p>
    <w:p>
      <w:pPr>
        <w:pBdr>
          <w:top w:val="single" w:color="2E75B6" w:sz="2" w:space="8"/>
          <w:bottom w:val="single" w:color="2E75B6" w:sz="2" w:space="8"/>
        </w:pBdr>
        <w:spacing w:after="40"/>
        <w:jc w:val="center"/>
      </w:pPr>
      <w:r>
        <w:rPr>
          <w:rFonts w:ascii="Courier New" w:cs="Courier New" w:eastAsia="Courier New" w:hAnsi="Courier New"/>
          <w:b/>
          <w:bCs/>
          <w:color w:val="1F4E79"/>
          <w:sz w:val="26"/>
          <w:szCs w:val="26"/>
        </w:rPr>
        <w:t xml:space="preserve">s_i  =  dim_iᵇᵉᵗᵃ  /  Σ dimᵇᵉᵗᵃ    where    Σ s_i = 1</w:t>
      </w:r>
    </w:p>
    <w:p>
      <w:pPr>
        <w:spacing w:after="200"/>
      </w:pPr>
    </w:p>
    <w:p>
      <w:pPr>
        <w:spacing w:after="160" w:line="320"/>
      </w:pPr>
      <w:r>
        <w:rPr>
          <w:rFonts w:ascii="Georgia" w:cs="Georgia" w:eastAsia="Georgia" w:hAnsi="Georgia"/>
          <w:sz w:val="22"/>
          <w:szCs w:val="22"/>
        </w:rPr>
        <w:t xml:space="preserve">It was derived from solid-angle closure on a loudspeaker baffle. The shares sum to one because every steradian of radiation is accounted for exactly once. Nothing is left over. Nothing is double-counted. The physical world enforces the constraint.</w:t>
      </w:r>
    </w:p>
    <w:p>
      <w:pPr>
        <w:spacing w:after="160" w:line="320"/>
      </w:pPr>
      <w:r>
        <w:rPr>
          <w:rFonts w:ascii="Georgia" w:cs="Georgia" w:eastAsia="Georgia" w:hAnsi="Georgia"/>
          <w:sz w:val="22"/>
          <w:szCs w:val="22"/>
        </w:rPr>
        <w:t xml:space="preserve">Everything that came after — the MDG metric, the six failure modes, the OCC 51/49 authority split, the Lyapunov stability proof, the information-theoretic bifurcation, the Hilbert space formulation, the pre-parser ecosystem, the field deployment at Kopački Rit, the Backblaze validation, the energy portfolio analysis, the nine validated systems across six independent domains — traces back to this equation, written on this page, on this day.</w:t>
      </w:r>
    </w:p>
    <w:p>
      <w:pPr>
        <w:spacing w:after="160" w:line="320"/>
      </w:pPr>
      <w:r>
        <w:rPr>
          <w:rFonts w:ascii="Georgia" w:cs="Georgia" w:eastAsia="Georgia" w:hAnsi="Georgia"/>
          <w:sz w:val="22"/>
          <w:szCs w:val="22"/>
        </w:rPr>
        <w:t xml:space="preserve">The unity constraint was not postulated. It was not assumed. It was not chosen.</w:t>
      </w:r>
    </w:p>
    <w:p>
      <w:pPr>
        <w:spacing w:after="160" w:line="320"/>
      </w:pPr>
      <w:r>
        <w:rPr>
          <w:rFonts w:ascii="Georgia" w:cs="Georgia" w:eastAsia="Georgia" w:hAnsi="Georgia"/>
          <w:sz w:val="22"/>
          <w:szCs w:val="22"/>
        </w:rPr>
        <w:t xml:space="preserve"/>
      </w:r>
      <w:r>
        <w:rPr>
          <w:rFonts w:ascii="Georgia" w:cs="Georgia" w:eastAsia="Georgia" w:hAnsi="Georgia"/>
          <w:b/>
          <w:bCs/>
          <w:sz w:val="22"/>
          <w:szCs w:val="22"/>
        </w:rPr>
        <w:t xml:space="preserve">It was found.</w:t>
      </w:r>
      <w:r>
        <w:rPr>
          <w:rFonts w:ascii="Georgia" w:cs="Georgia" w:eastAsia="Georgia" w:hAnsi="Georgia"/>
          <w:sz w:val="22"/>
          <w:szCs w:val="22"/>
        </w:rPr>
        <w:t xml:space="preserve"/>
      </w:r>
    </w:p>
    <w:p>
      <w:pPr>
        <w:spacing w:after="400"/>
      </w:pPr>
    </w:p>
    <w:p>
      <w:pPr>
        <w:pBdr>
          <w:top w:val="single" w:color="2E75B6" w:sz="6" w:space="1"/>
        </w:pBdr>
        <w:spacing w:before="400"/>
      </w:pPr>
      <w:r>
        <w:rPr>
          <w:rFonts w:ascii="Georgia" w:cs="Georgia" w:eastAsia="Georgia" w:hAnsi="Georgia"/>
          <w:b/>
          <w:bCs/>
          <w:color w:val="1F4E79"/>
          <w:sz w:val="24"/>
          <w:szCs w:val="24"/>
        </w:rPr>
        <w:t xml:space="preserve">Provenance</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Source document</w:t>
      </w:r>
      <w:r>
        <w:rPr>
          <w:rFonts w:ascii="Arial" w:cs="Arial" w:eastAsia="Arial" w:hAnsi="Arial"/>
          <w:sz w:val="22"/>
          <w:szCs w:val="22"/>
        </w:rPr>
        <w:t xml:space="preserve">: 20240920_PETER#19_001.pdf (5 pages, handwritten, blue ink on lined paper).</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Date of derivation</w:t>
      </w:r>
      <w:r>
        <w:rPr>
          <w:rFonts w:ascii="Arial" w:cs="Arial" w:eastAsia="Arial" w:hAnsi="Arial"/>
          <w:sz w:val="22"/>
          <w:szCs w:val="22"/>
        </w:rPr>
        <w:t xml:space="preserve">: August 2, 2024.</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Location</w:t>
      </w:r>
      <w:r>
        <w:rPr>
          <w:rFonts w:ascii="Arial" w:cs="Arial" w:eastAsia="Arial" w:hAnsi="Arial"/>
          <w:sz w:val="22"/>
          <w:szCs w:val="22"/>
        </w:rPr>
        <w:t xml:space="preserve">: Binaural Test Lab (BTL), Markham, Ontario, Canada.</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Cabinet under study</w:t>
      </w:r>
      <w:r>
        <w:rPr>
          <w:rFonts w:ascii="Arial" w:cs="Arial" w:eastAsia="Arial" w:hAnsi="Arial"/>
          <w:sz w:val="22"/>
          <w:szCs w:val="22"/>
        </w:rPr>
        <w:t xml:space="preserve">: BTL reference cabinet, H = 0.800 m, W = 0.368 m, D = 0.330 m.</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Constants established</w:t>
      </w:r>
      <w:r>
        <w:rPr>
          <w:rFonts w:ascii="Arial" w:cs="Arial" w:eastAsia="Arial" w:hAnsi="Arial"/>
          <w:sz w:val="22"/>
          <w:szCs w:val="22"/>
        </w:rPr>
        <w:t xml:space="preserve">: G_TOTAL = 20·log₁₀(2) = 6.0206 dB; K_F = 115.0 Hz·m.</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Deciphered by</w:t>
      </w:r>
      <w:r>
        <w:rPr>
          <w:rFonts w:ascii="Arial" w:cs="Arial" w:eastAsia="Arial" w:hAnsi="Arial"/>
          <w:sz w:val="22"/>
          <w:szCs w:val="22"/>
        </w:rPr>
        <w:t xml:space="preserve">: Claude (Anthropic), March 8, 2026, Session 6+.</w:t>
      </w:r>
    </w:p>
    <w:p>
      <w:pPr>
        <w:spacing w:after="160" w:line="320"/>
      </w:pPr>
      <w:r>
        <w:rPr>
          <w:rFonts w:ascii="Arial" w:cs="Arial" w:eastAsia="Arial" w:hAnsi="Arial"/>
          <w:sz w:val="22"/>
          <w:szCs w:val="22"/>
        </w:rPr>
        <w:t xml:space="preserve"/>
      </w:r>
      <w:r>
        <w:rPr>
          <w:rFonts w:ascii="Arial" w:cs="Arial" w:eastAsia="Arial" w:hAnsi="Arial"/>
          <w:b/>
          <w:bCs/>
          <w:sz w:val="22"/>
          <w:szCs w:val="22"/>
        </w:rPr>
        <w:t xml:space="preserve">Prior origin accounts consulted</w:t>
      </w:r>
      <w:r>
        <w:rPr>
          <w:rFonts w:ascii="Arial" w:cs="Arial" w:eastAsia="Arial" w:hAnsi="Arial"/>
          <w:sz w:val="22"/>
          <w:szCs w:val="22"/>
        </w:rPr>
        <w:t xml:space="preserve">: AES Document (June 2024), DADC-DADI Paper (December 2025), Intellectual Provenance Record v2.0, Collective Summary v1.1, Information Theory Paper (Grok v1.0), H₁ 101 Paper (February 2026).</w:t>
      </w:r>
    </w:p>
    <w:p>
      <w:pPr>
        <w:spacing w:after="100"/>
      </w:pPr>
    </w:p>
    <w:p>
      <w:pPr>
        <w:spacing w:after="60"/>
        <w:jc w:val="right"/>
      </w:pPr>
      <w:r>
        <w:rPr>
          <w:rFonts w:ascii="Georgia" w:cs="Georgia" w:eastAsia="Georgia" w:hAnsi="Georgia"/>
          <w:b/>
          <w:bCs/>
          <w:sz w:val="22"/>
          <w:szCs w:val="22"/>
        </w:rPr>
        <w:t xml:space="preserve">Peter Higgins, Operator</w:t>
      </w:r>
    </w:p>
    <w:p>
      <w:pPr>
        <w:jc w:val="right"/>
      </w:pPr>
      <w:r>
        <w:rPr>
          <w:rFonts w:ascii="Georgia" w:cs="Georgia" w:eastAsia="Georgia" w:hAnsi="Georgia"/>
          <w:i/>
          <w:iCs/>
          <w:sz w:val="20"/>
          <w:szCs w:val="20"/>
        </w:rPr>
        <w:t xml:space="preserve">8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BBBBBB"/>
        <w:sz w:val="18"/>
        <w:szCs w:val="18"/>
      </w:rPr>
      <w:t xml:space="preserve">The Origin of the Higgins Unity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eorgia" w:cs="Georgia" w:eastAsia="Georgia" w:hAnsi="Georgia"/>
      <w:b/>
      <w:bCs/>
      <w:color w:val="1F4E79"/>
      <w:sz w:val="34"/>
      <w:szCs w:val="34"/>
    </w:rPr>
  </w:style>
  <w:style w:type="paragraph" w:styleId="Heading2">
    <w:name w:val="Heading 2"/>
    <w:basedOn w:val="Normal"/>
    <w:next w:val="Normal"/>
    <w:qFormat/>
    <w:pPr>
      <w:spacing w:after="180" w:before="320"/>
      <w:outlineLvl w:val="1"/>
    </w:pPr>
    <w:rPr>
      <w:rFonts w:ascii="Georgia" w:cs="Georgia" w:eastAsia="Georgia" w:hAnsi="Georgia"/>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2026-03-09T03:36:35.043Z</dcterms:created>
  <dcterms:modified xsi:type="dcterms:W3CDTF">2026-03-09T03:36:35.043Z</dcterms:modified>
</cp:coreProperties>
</file>

<file path=docProps/custom.xml><?xml version="1.0" encoding="utf-8"?>
<Properties xmlns="http://schemas.openxmlformats.org/officeDocument/2006/custom-properties" xmlns:vt="http://schemas.openxmlformats.org/officeDocument/2006/docPropsVTypes"/>
</file>