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SUFFICIENCY FRONTIER</w:t>
      </w:r>
    </w:p>
    <w:p>
      <w:pPr>
        <w:spacing w:after="100"/>
        <w:jc w:val="center"/>
      </w:pPr>
      <w:r>
        <w:rPr>
          <w:rFonts w:ascii="Times New Roman" w:cs="Times New Roman" w:eastAsia="Times New Roman" w:hAnsi="Times New Roman"/>
          <w:color w:val="2E75B6"/>
          <w:sz w:val="28"/>
          <w:szCs w:val="28"/>
        </w:rPr>
        <w:t xml:space="preserve">Domain-Agnostic Sufficient Statistic Extraction</w:t>
      </w:r>
    </w:p>
    <w:p>
      <w:pPr>
        <w:spacing w:after="100"/>
        <w:jc w:val="center"/>
      </w:pPr>
      <w:r>
        <w:rPr>
          <w:rFonts w:ascii="Times New Roman" w:cs="Times New Roman" w:eastAsia="Times New Roman" w:hAnsi="Times New Roman"/>
          <w:color w:val="2E75B6"/>
          <w:sz w:val="28"/>
          <w:szCs w:val="28"/>
        </w:rPr>
        <w:t xml:space="preserve">at 6,357,738:1</w:t>
      </w:r>
    </w:p>
    <w:p>
      <w:pPr>
        <w:spacing w:before="400"/>
      </w:pPr>
    </w:p>
    <w:p>
      <w:pPr>
        <w:spacing w:after="80"/>
        <w:jc w:val="center"/>
      </w:pPr>
      <w:r>
        <w:rPr>
          <w:rFonts w:ascii="Times New Roman" w:cs="Times New Roman" w:eastAsia="Times New Roman" w:hAnsi="Times New Roman"/>
          <w:i/>
          <w:iCs/>
          <w:color w:val="333333"/>
          <w:sz w:val="24"/>
          <w:szCs w:val="24"/>
        </w:rPr>
        <w:t xml:space="preserve">Pillar 1 of the HUF Triad · Version 3.5 · HUF-Org with ML Validation</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Information reduction in science and engineering proceeds through a well-understood hierarchy: syntactic redundancy removal (2:1–10:1), perceptual irrelevance removal (10:1–3,000:1), and structural model-based extraction (10²–10⁴:1). This paper identifies a fourth level—sufficient statistic extraction—and presents an empirical system operating at this level. The Higgins Unity Framework (HUF) PreParser processes 156,266,500 records from 10 heterogeneous domains and produces a 1,008-byte output that preserves the information necessary for portfolio governance inference, yielding a ratio of 6,357,738:1. We define the sufficiency frontier as the boundary in reduction-ratio space where this transition occurs, formalize its relationship to Fisher sufficiency and Boltzmann phase-space reduction, and provide external validation through changepoint detection on ESA Planck satellite data (Pettitt OD 975 = January 14, 2012, exact match with He-4 exhaustion). This expanded version (v3.3) includes complete data provenance for all 10 systems, computational reproducibility paths, cross-references to the HUF Triad companion volumes, the car/fuel analogy, and a new section on Adaptive Scope with Dynamic OCC Drift Monitoring and Dynamic Portfolio Gating.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The question of how much a dataset can be reduced while preserving the information needed for a specific inference has a long history. Shannon’s source coding theorem [1] establishes the fundamental limit for lossless compression. Fisher’s concept of sufficiency [2] establishes when a statistic captures everything a sample says about a parameter. Boltzmann’s statistical mechanics achieves the most extreme reduction in physics: from 10²³ particle states to a handful of thermodynamic variables.</w:t>
      </w:r>
    </w:p>
    <w:p>
      <w:pPr>
        <w:spacing w:after="180" w:line="276"/>
      </w:pPr>
      <w:r>
        <w:rPr>
          <w:rFonts w:ascii="Times New Roman" w:cs="Times New Roman" w:eastAsia="Times New Roman" w:hAnsi="Times New Roman"/>
          <w:color w:val="333333"/>
          <w:sz w:val="22"/>
          <w:szCs w:val="22"/>
        </w:rPr>
        <w:t xml:space="preserve">These results share a common structure: they identify conditions under which massive data reduction preserves inferential power. They differ in the nature of the preserved quantity—syntactic fidelity for Shannon, parametric information for Fisher, macroscopic observables for Boltzmann.</w:t>
      </w:r>
    </w:p>
    <w:p>
      <w:pPr>
        <w:spacing w:after="180" w:line="276"/>
      </w:pPr>
      <w:r>
        <w:rPr>
          <w:rFonts w:ascii="Times New Roman" w:cs="Times New Roman" w:eastAsia="Times New Roman" w:hAnsi="Times New Roman"/>
          <w:color w:val="333333"/>
          <w:sz w:val="22"/>
          <w:szCs w:val="22"/>
        </w:rPr>
        <w:t xml:space="preserve">This paper presents a system that achieves reduction at the scale of Boltzmann’s phase-space collapse (10⁶⋅⁸:1) while operating across arbitrary domains without prior physical knowledge. The HUF PreParser extracts the sufficient statistics for portfolio governance from heterogeneous data, producing a vector of shares on the probability simplex. We argue that this constitutes a fourth level in the hierarchy of information reduction and define the sufficiency frontier as the boundary marking this transition.</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Interactive introduction: Volume 0, Notebooks 1–5</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 and Notation</w:t>
      </w:r>
    </w:p>
    <w:p>
      <w:pPr>
        <w:spacing w:after="180" w:line="276"/>
      </w:pPr>
      <w:r>
        <w:rPr>
          <w:rFonts w:ascii="Times New Roman" w:cs="Times New Roman" w:eastAsia="Times New Roman" w:hAnsi="Times New Roman"/>
          <w:color w:val="333333"/>
          <w:sz w:val="22"/>
          <w:szCs w:val="22"/>
        </w:rPr>
        <w:t xml:space="preserve">The following terms are used throughout this paper. All definitions are consistent with the HUF Triad unified glossary (Volume 8, Section 8).</w:t>
      </w:r>
    </w:p>
    <w:p>
      <w:pPr>
        <w:spacing w:after="180" w:line="276"/>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 The ceiling is fixed; it does not grow or shrink with usage.</w:t>
      </w:r>
    </w:p>
    <w:p>
      <w:pPr>
        <w:spacing w:after="180" w:line="276"/>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of a portfolio that holds a share of the budget ceiling. Minimum: two elements per portfolio.</w:t>
      </w:r>
    </w:p>
    <w:p>
      <w:pPr>
        <w:spacing w:after="180" w:line="276"/>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proportional portion of the budget ceiling at a given point in time: ρᵢ = mᵢ / M where M = Σmⱼ.</w:t>
      </w:r>
    </w:p>
    <w:p>
      <w:pPr>
        <w:spacing w:after="180" w:line="276"/>
      </w:pPr>
      <w:r>
        <w:rPr>
          <w:rFonts w:ascii="Times New Roman" w:cs="Times New Roman" w:eastAsia="Times New Roman" w:hAnsi="Times New Roman"/>
          <w:b/>
          <w:bCs/>
          <w:i/>
          <w:iCs/>
          <w:color w:val="333333"/>
          <w:sz w:val="22"/>
          <w:szCs w:val="22"/>
        </w:rPr>
        <w:t xml:space="preserve">Ratio state (ρ)</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complete description of a finite-budget system at a point in time, expressed as a vector of shares summing to 1.0.</w:t>
      </w:r>
    </w:p>
    <w:p>
      <w:pPr>
        <w:spacing w:after="180" w:line="276"/>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Satisfied by every valid portfolio state. Tautological for any system where shares are defined as proportions of a fixed total.</w:t>
      </w:r>
    </w:p>
    <w:p>
      <w:pPr>
        <w:spacing w:after="180" w:line="276"/>
      </w:pPr>
      <w:r>
        <w:rPr>
          <w:rFonts w:ascii="Times New Roman" w:cs="Times New Roman" w:eastAsia="Times New Roman" w:hAnsi="Times New Roman"/>
          <w:b/>
          <w:bCs/>
          <w:i/>
          <w:iCs/>
          <w:color w:val="333333"/>
          <w:sz w:val="22"/>
          <w:szCs w:val="22"/>
        </w:rPr>
        <w:t xml:space="preserve">Probability simplex (Sᴷ)</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set of all K-dimensional vectors with non-negative components summing to 1. The geometric space on which all HUF operations occur.</w:t>
      </w:r>
    </w:p>
    <w:p>
      <w:pPr>
        <w:spacing w:after="180" w:line="276"/>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average absolute difference between declared and observed shares: MDG = (1/K)Σ|ρᵢᵈᵉᶜ − ρᵢᵒᵇˢ|. Reported in percentage points.</w:t>
      </w:r>
    </w:p>
    <w:p>
      <w:pPr>
        <w:spacing w:after="180" w:line="276"/>
      </w:pPr>
      <w:r>
        <w:rPr>
          <w:rFonts w:ascii="Times New Roman" w:cs="Times New Roman" w:eastAsia="Times New Roman" w:hAnsi="Times New Roman"/>
          <w:b/>
          <w:bCs/>
          <w:i/>
          <w:iCs/>
          <w:color w:val="333333"/>
          <w:sz w:val="22"/>
          <w:szCs w:val="22"/>
        </w:rPr>
        <w:t xml:space="preserve">Sufficient statistic</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function T(X) of data X such that the conditional distribution of X given T(X) does not depend on the parameter θ [2].</w:t>
      </w:r>
    </w:p>
    <w:p>
      <w:pPr>
        <w:spacing w:after="180" w:line="276"/>
      </w:pPr>
      <w:r>
        <w:rPr>
          <w:rFonts w:ascii="Times New Roman" w:cs="Times New Roman" w:eastAsia="Times New Roman" w:hAnsi="Times New Roman"/>
          <w:b/>
          <w:bCs/>
          <w:i/>
          <w:iCs/>
          <w:color w:val="333333"/>
          <w:sz w:val="22"/>
          <w:szCs w:val="22"/>
        </w:rPr>
        <w:t xml:space="preserve">Sufficiency frontier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boundary in reduction-ratio space where information reduction transitions from lossy approximation to inference-preserving extraction.</w:t>
      </w:r>
    </w:p>
    <w:p>
      <w:pPr>
        <w:spacing w:after="180" w:line="276"/>
      </w:pPr>
      <w:r>
        <w:rPr>
          <w:rFonts w:ascii="Times New Roman" w:cs="Times New Roman" w:eastAsia="Times New Roman" w:hAnsi="Times New Roman"/>
          <w:b/>
          <w:bCs/>
          <w:i/>
          <w:iCs/>
          <w:color w:val="333333"/>
          <w:sz w:val="22"/>
          <w:szCs w:val="22"/>
        </w:rPr>
        <w:t xml:space="preserve">Cross-domain normalization (CDN)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Ω = |ΔMDG| × β, where β = K/K_eff. Dimensionless metric enabling comparison across domains with different element counts.</w:t>
      </w:r>
    </w:p>
    <w:p>
      <w:pPr>
        <w:spacing w:after="180" w:line="276"/>
      </w:pPr>
      <w:r>
        <w:rPr>
          <w:rFonts w:ascii="Times New Roman" w:cs="Times New Roman" w:eastAsia="Times New Roman" w:hAnsi="Times New Roman"/>
          <w:b/>
          <w:bCs/>
          <w:i/>
          <w:iCs/>
          <w:color w:val="333333"/>
          <w:sz w:val="22"/>
          <w:szCs w:val="22"/>
        </w:rPr>
        <w:t xml:space="preserve">Phase-space reduction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collapse from microscopic state descriptions to macroscopic sufficient statistics, as exemplified by Boltzmann’s derivation of thermodynamic quantities from particle-level data.</w:t>
      </w:r>
    </w:p>
    <w:p>
      <w:pPr>
        <w:spacing w:after="180" w:line="276"/>
      </w:pPr>
      <w:r>
        <w:rPr>
          <w:rFonts w:ascii="Times New Roman" w:cs="Times New Roman" w:eastAsia="Times New Roman" w:hAnsi="Times New Roman"/>
          <w:b/>
          <w:bCs/>
          <w:i/>
          <w:iCs/>
          <w:color w:val="333333"/>
          <w:sz w:val="22"/>
          <w:szCs w:val="22"/>
        </w:rPr>
        <w:t xml:space="preserve">PreParser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HUF analytical engine that performs domain-agnostic sufficient statistic extraction. Input: arbitrary tabular or structured data. Output: portfolio state vector on Sᴷ.</w:t>
      </w:r>
    </w:p>
    <w:p>
      <w:pPr>
        <w:spacing w:after="180" w:line="276"/>
      </w:pPr>
      <w:r>
        <w:rPr>
          <w:rFonts w:ascii="Times New Roman" w:cs="Times New Roman" w:eastAsia="Times New Roman" w:hAnsi="Times New Roman"/>
          <w:b/>
          <w:bCs/>
          <w:i/>
          <w:iCs/>
          <w:color w:val="333333"/>
          <w:sz w:val="22"/>
          <w:szCs w:val="22"/>
        </w:rPr>
        <w:t xml:space="preserve">Aitchison distance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natural metric on the probability simplex, defined as d_A(ρ, ρ′) = ||clr(ρ) − clr(ρ′)||, where clr is the centered log-ratio transformation [3]. MDG is a first-order approximation.</w:t>
      </w:r>
    </w:p>
    <w:p>
      <w:pPr>
        <w:spacing w:after="180" w:line="276"/>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state observer where y(t) = ρ(t): the output IS the state. Estimation gain L = 0; estimation error identically zero without requiring a dynamic model.</w:t>
      </w:r>
    </w:p>
    <w:p>
      <w:pPr>
        <w:spacing w:after="180" w:line="276"/>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Q = T_char / T_obs. The ratio of an element’s characteristic contribution period to its observation bandwidth. Determines vulnerability to snapshot error.</w:t>
      </w:r>
    </w:p>
    <w:p>
      <w:pPr>
        <w:spacing w:after="180" w:line="276"/>
      </w:pPr>
      <w:r>
        <w:rPr>
          <w:rFonts w:ascii="Times New Roman" w:cs="Times New Roman" w:eastAsia="Times New Roman" w:hAnsi="Times New Roman"/>
          <w:b/>
          <w:bCs/>
          <w:i/>
          <w:iCs/>
          <w:color w:val="333333"/>
          <w:sz w:val="22"/>
          <w:szCs w:val="22"/>
        </w:rPr>
        <w:t xml:space="preserve">Dynamic portfolio gating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Elements enter and leave the active portfolio based on whether they are above the observation threshold. The gate adapts as data arrives or departs. Unity is computed within the gated set.</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Phase-Space Reduction: From Boltzmann to the Probability Simplex</w:t>
      </w:r>
    </w:p>
    <w:p>
      <w:pPr>
        <w:pStyle w:val="Heading2"/>
        <w:spacing w:after="160" w:before="280"/>
      </w:pPr>
      <w:r>
        <w:rPr>
          <w:rFonts w:ascii="Times New Roman" w:cs="Times New Roman" w:eastAsia="Times New Roman" w:hAnsi="Times New Roman"/>
          <w:b/>
          <w:bCs/>
          <w:color w:val="1F3864"/>
          <w:sz w:val="24"/>
          <w:szCs w:val="24"/>
        </w:rPr>
        <w:t xml:space="preserve">3.1 The Boltzmann Precedent</w:t>
      </w:r>
    </w:p>
    <w:p>
      <w:pPr>
        <w:spacing w:after="180" w:line="276"/>
      </w:pPr>
      <w:r>
        <w:rPr>
          <w:rFonts w:ascii="Times New Roman" w:cs="Times New Roman" w:eastAsia="Times New Roman" w:hAnsi="Times New Roman"/>
          <w:color w:val="333333"/>
          <w:sz w:val="22"/>
          <w:szCs w:val="22"/>
        </w:rPr>
        <w:t xml:space="preserve">Statistical mechanics achieves the most extreme information reduction in the physical sciences. A mole of gas contains approximately 6.022 × 10²³ particles, each described by six phase-space coordinates (three position, three momentum). The full state description requires ~3.6 × 10²⁴ floating-point numbers. Boltzmann’s partition function reduces this to a handful of thermodynamic variables—temperature, pressure, entropy—that are sufficient for predicting macroscopic behavior [4]. The reduction ratio exceeds 10²³:1.</w:t>
      </w:r>
    </w:p>
    <w:p>
      <w:pPr>
        <w:spacing w:after="180" w:line="276"/>
      </w:pPr>
      <w:r>
        <w:rPr>
          <w:rFonts w:ascii="Times New Roman" w:cs="Times New Roman" w:eastAsia="Times New Roman" w:hAnsi="Times New Roman"/>
          <w:color w:val="333333"/>
          <w:sz w:val="22"/>
          <w:szCs w:val="22"/>
        </w:rPr>
        <w:t xml:space="preserve">This reduction is not compression. No algorithm can reconstruct the microscopic states from the thermodynamic variables. The reduction preserves exactly the information needed for the inference at hand: macroscopic predictions. In Fisher’s terminology, the thermodynamic variables are sufficient statistics for the macroscopic parameters.</w:t>
      </w:r>
    </w:p>
    <w:p>
      <w:pPr>
        <w:pStyle w:val="Heading2"/>
        <w:spacing w:after="160" w:before="280"/>
      </w:pPr>
      <w:r>
        <w:rPr>
          <w:rFonts w:ascii="Times New Roman" w:cs="Times New Roman" w:eastAsia="Times New Roman" w:hAnsi="Times New Roman"/>
          <w:b/>
          <w:bCs/>
          <w:color w:val="1F3864"/>
          <w:sz w:val="24"/>
          <w:szCs w:val="24"/>
        </w:rPr>
        <w:t xml:space="preserve">3.2 Fisher Sufficiency</w:t>
      </w:r>
    </w:p>
    <w:p>
      <w:pPr>
        <w:spacing w:after="180" w:line="276"/>
      </w:pPr>
      <w:r>
        <w:rPr>
          <w:rFonts w:ascii="Times New Roman" w:cs="Times New Roman" w:eastAsia="Times New Roman" w:hAnsi="Times New Roman"/>
          <w:color w:val="333333"/>
          <w:sz w:val="22"/>
          <w:szCs w:val="22"/>
        </w:rPr>
        <w:t xml:space="preserve">Fisher’s factorization theorem [2] states that T(X) is sufficient for θ if and only if the likelihood can be written as L(θ; X) = g(T(X), θ) · h(X), where h does not depend on θ. The Pitman–Koopman–Darmois theorem [5, 6] restricts the existence of fixed-dimensional sufficient statistics to exponential family distributions, except in degenerate cases.</w:t>
      </w:r>
    </w:p>
    <w:p>
      <w:pPr>
        <w:spacing w:after="180" w:line="276"/>
      </w:pPr>
      <w:r>
        <w:rPr>
          <w:rFonts w:ascii="Times New Roman" w:cs="Times New Roman" w:eastAsia="Times New Roman" w:hAnsi="Times New Roman"/>
          <w:color w:val="333333"/>
          <w:sz w:val="22"/>
          <w:szCs w:val="22"/>
        </w:rPr>
        <w:t xml:space="preserve">The HUF departure from this classical result is significant. The PreParser does not assume an exponential family. It does not estimate a parametric model. Instead, it exploits a structural invariant—the unity constraint Σρᵢ = 1—that holds for any system expressible as proportional allocation. The portfolio state vector ρ on the probability simplex Sᴷ captures everything needed for governance inference without requiring knowledge of the generating distribution.</w:t>
      </w:r>
    </w:p>
    <w:p>
      <w:pPr>
        <w:pStyle w:val="Heading2"/>
        <w:spacing w:after="160" w:before="280"/>
      </w:pPr>
      <w:r>
        <w:rPr>
          <w:rFonts w:ascii="Times New Roman" w:cs="Times New Roman" w:eastAsia="Times New Roman" w:hAnsi="Times New Roman"/>
          <w:b/>
          <w:bCs/>
          <w:color w:val="1F3864"/>
          <w:sz w:val="24"/>
          <w:szCs w:val="24"/>
        </w:rPr>
        <w:t xml:space="preserve">3.3 HUF as Phase-Space Reduction</w:t>
      </w:r>
    </w:p>
    <w:p>
      <w:pPr>
        <w:spacing w:after="180" w:line="276"/>
      </w:pPr>
      <w:r>
        <w:rPr>
          <w:rFonts w:ascii="Times New Roman" w:cs="Times New Roman" w:eastAsia="Times New Roman" w:hAnsi="Times New Roman"/>
          <w:color w:val="333333"/>
          <w:sz w:val="22"/>
          <w:szCs w:val="22"/>
        </w:rPr>
        <w:t xml:space="preserve">The HUF PreParser processes 156,266,500 records occupying approximately 6.4 × 10⁹ bytes and produces a 1,008-byte output: 10 portfolio state vectors, each a point on the appropriate simplex Sᴷ. The reduction ratio is 6,357,738:1.</w:t>
      </w:r>
    </w:p>
    <w:p>
      <w:pPr>
        <w:spacing w:after="180" w:line="276"/>
      </w:pPr>
      <w:r>
        <w:rPr>
          <w:rFonts w:ascii="Times New Roman" w:cs="Times New Roman" w:eastAsia="Times New Roman" w:hAnsi="Times New Roman"/>
          <w:color w:val="333333"/>
          <w:sz w:val="22"/>
          <w:szCs w:val="22"/>
        </w:rPr>
        <w:t xml:space="preserve">Like Boltzmann’s reduction, this is irreversible—the original records cannot be reconstructed. Like Boltzmann’s reduction, it preserves the information needed for the intended inference. Unlike Boltzmann’s reduction, it operates without prior knowledge of the domain’s physics. The unity constraint replaces the Hamiltonian as the structural invariant that makes the reduction possible.</w:t>
      </w:r>
    </w:p>
    <w:p>
      <w:pPr>
        <w:spacing w:after="160" w:before="80"/>
      </w:pPr>
      <w:r>
        <w:rPr>
          <w:rFonts w:ascii="Times New Roman" w:cs="Times New Roman" w:eastAsia="Times New Roman" w:hAnsi="Times New Roman"/>
          <w:i/>
          <w:iCs/>
          <w:color w:val="2E75B6"/>
          <w:sz w:val="20"/>
          <w:szCs w:val="20"/>
        </w:rPr>
        <w:t xml:space="preserve">▶ Interactive demonstration: Vol 0, Notebooks 3–5 (sourdough, TTC, Planck)</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Hierarchy of Information Reduction</w:t>
      </w:r>
    </w:p>
    <w:p>
      <w:pPr>
        <w:spacing w:after="180" w:line="276"/>
      </w:pPr>
      <w:r>
        <w:rPr>
          <w:rFonts w:ascii="Times New Roman" w:cs="Times New Roman" w:eastAsia="Times New Roman" w:hAnsi="Times New Roman"/>
          <w:color w:val="333333"/>
          <w:sz w:val="22"/>
          <w:szCs w:val="22"/>
        </w:rPr>
        <w:t xml:space="preserve">We propose a four-level hierarchy that organizes established and novel reduction methods by the nature of what is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600"/>
        <w:gridCol w:w="1900"/>
        <w:gridCol w:w="28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Preserved Quantity</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Canonical Example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2:1–10:1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reconstruction</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Entropy coding</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[7]</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10:1–3,000:1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Psychoacoustic/visual models</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[8], MP3 [9], H.265 [10]</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10²–10⁴:1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 parameters</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Basis decomposition, state estimation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Kalman filter [11]</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10⁵–10²³:1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Inferential content</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invariant exploitation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[4], HUF PreParser</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Each level subsumes the previous: Level 2 methods discard syntactically relevant information that is perceptually irrelevant; Level 3 methods discard structure beyond what the model captures; Level 4 methods reduce to the sufficient statistics for a specified inference. The transitions between levels are qualitative, not merely quantitative. A Level 4 system that happens to achieve a moderate ratio (e.g., 100:1) is still qualitatively different from a Level 3 system at the same ratio, because the nature of the preserved quantity differs.</w:t>
      </w:r>
    </w:p>
    <w:p>
      <w:pPr>
        <w:spacing w:after="180" w:line="276"/>
      </w:pPr>
      <w:r>
        <w:rPr>
          <w:rFonts w:ascii="Times New Roman" w:cs="Times New Roman" w:eastAsia="Times New Roman" w:hAnsi="Times New Roman"/>
          <w:color w:val="333333"/>
          <w:sz w:val="22"/>
          <w:szCs w:val="22"/>
        </w:rPr>
        <w:t xml:space="preserve">The sufficiency frontier is the boundary between Level 3 and Level 4. Below it, reduction preserves model parameters or approximations. Above it, reduction preserves exactly the information needed for the target inference—no more, no less.</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HUF PreParser: Method and Corpus</w:t>
      </w:r>
    </w:p>
    <w:p>
      <w:pPr>
        <w:pStyle w:val="Heading2"/>
        <w:spacing w:after="160" w:before="280"/>
      </w:pPr>
      <w:r>
        <w:rPr>
          <w:rFonts w:ascii="Times New Roman" w:cs="Times New Roman" w:eastAsia="Times New Roman" w:hAnsi="Times New Roman"/>
          <w:b/>
          <w:bCs/>
          <w:color w:val="1F3864"/>
          <w:sz w:val="24"/>
          <w:szCs w:val="24"/>
        </w:rPr>
        <w:t xml:space="preserve">5.1 Method</w:t>
      </w:r>
    </w:p>
    <w:p>
      <w:pPr>
        <w:spacing w:after="180" w:line="276"/>
      </w:pPr>
      <w:r>
        <w:rPr>
          <w:rFonts w:ascii="Times New Roman" w:cs="Times New Roman" w:eastAsia="Times New Roman" w:hAnsi="Times New Roman"/>
          <w:color w:val="333333"/>
          <w:sz w:val="22"/>
          <w:szCs w:val="22"/>
        </w:rPr>
        <w:t xml:space="preserve">The PreParser accepts heterogeneous tabular or structured data and performs three operations: (1) identify the budget ceiling and elements, (2) compute observed shares ρᵢ = mᵢ / Σmⱼ, (3) verify Σρᵢ = 1 and output the portfolio state vector. No domain-specific configuration is required beyond specifying which columns represent element magnitudes. The operation is deterministic and reproducible.</w:t>
      </w:r>
    </w:p>
    <w:p>
      <w:pPr>
        <w:pStyle w:val="Heading2"/>
        <w:spacing w:after="160" w:before="280"/>
      </w:pPr>
      <w:r>
        <w:rPr>
          <w:rFonts w:ascii="Times New Roman" w:cs="Times New Roman" w:eastAsia="Times New Roman" w:hAnsi="Times New Roman"/>
          <w:b/>
          <w:bCs/>
          <w:color w:val="1F3864"/>
          <w:sz w:val="24"/>
          <w:szCs w:val="24"/>
        </w:rPr>
        <w:t xml:space="preserve">5.2 Corpus</w:t>
      </w:r>
    </w:p>
    <w:p>
      <w:pPr>
        <w:spacing w:after="180" w:line="276"/>
      </w:pPr>
      <w:r>
        <w:rPr>
          <w:rFonts w:ascii="Times New Roman" w:cs="Times New Roman" w:eastAsia="Times New Roman" w:hAnsi="Times New Roman"/>
          <w:color w:val="333333"/>
          <w:sz w:val="22"/>
          <w:szCs w:val="22"/>
        </w:rPr>
        <w:t xml:space="preserve">The following table presents the complete 10-system corpus with full data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000"/>
        <w:gridCol w:w="1200"/>
        <w:gridCol w:w="1000"/>
        <w:gridCol w:w="1600"/>
        <w:gridCol w:w="29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Elements (K)</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DOI / URL</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HDI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Mechanical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1,048,576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 models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backblaze.com/cloud-storage/resources/hard-drive-test-data</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Energy policy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6–8 sources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Our World in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10.1038/s41560-020-0695-4</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 Ridership</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Urban transit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 routes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open.toronto.ca/dataset/ttc-ridership-analysis</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Municipal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~127,000,000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 categories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Astrophysics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~5,700,000,000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channels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Legacy Archive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10.1051/0004-6361/201321529</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Fermentation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ingredients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Ecology</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Ramsar sites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Information Service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rsis.ramsar.org</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Digital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namespaces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system logs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Acoustics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 freq bands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roguewaveaudio.com</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 Rep</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Scientific Reports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5.3 Reduction Computation</w:t>
      </w:r>
    </w:p>
    <w:p>
      <w:pPr>
        <w:spacing w:after="180" w:line="276"/>
      </w:pPr>
      <w:r>
        <w:rPr>
          <w:rFonts w:ascii="Times New Roman" w:cs="Times New Roman" w:eastAsia="Times New Roman" w:hAnsi="Times New Roman"/>
          <w:color w:val="333333"/>
          <w:sz w:val="22"/>
          <w:szCs w:val="22"/>
        </w:rPr>
        <w:t xml:space="preserve">Total input: 156,266,500 records occupying approximately 6.4 × 10⁹ bytes across CSV, FITS, GeoJSON, WAV, and system log formats. Total output: 10 portfolio state vectors totaling 1,008 bytes. Reduction ratio: 6,357,738:1.</w:t>
      </w:r>
    </w:p>
    <w:p>
      <w:pPr>
        <w:spacing w:after="180" w:line="276"/>
      </w:pPr>
      <w:r>
        <w:rPr>
          <w:rFonts w:ascii="Times New Roman" w:cs="Times New Roman" w:eastAsia="Times New Roman" w:hAnsi="Times New Roman"/>
          <w:color w:val="333333"/>
          <w:sz w:val="22"/>
          <w:szCs w:val="22"/>
        </w:rPr>
        <w:t xml:space="preserve">The output preserves: (a) the relative allocation of every element within each system, (b) the cross-system comparability via CDN normalization, and (c) the temporal trajectory when multiple cycles are available. The output does not preserve: raw magnitudes, individual record-level detail, domain-specific metadata, or any information not relevant to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5.4 Data Provenance (New in v3.0)</w:t>
      </w:r>
    </w:p>
    <w:p>
      <w:pPr>
        <w:spacing w:after="180" w:line="276"/>
      </w:pPr>
      <w:r>
        <w:rPr>
          <w:rFonts w:ascii="Times New Roman" w:cs="Times New Roman" w:eastAsia="Times New Roman" w:hAnsi="Times New Roman"/>
          <w:color w:val="333333"/>
          <w:sz w:val="22"/>
          <w:szCs w:val="22"/>
        </w:rPr>
        <w:t xml:space="preserve">Complete provenance for each system, enabling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400"/>
        <w:gridCol w:w="1800"/>
        <w:gridCol w:w="2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 Range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Retrieval Date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Format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Access Method</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Checksum Available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2023 Q1–Q3</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 (compressed)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HTTP download</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(SHA-256)</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1985–2023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GitHub clone</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(git hash)</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2015–2019</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2016–2024</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GeoJSON, 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91–1604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FITS (HEALPix)</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 FTP</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(FITS header)</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Manual records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notebook</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1993–2024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 reports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RIS database</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CI/CD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2025–2026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System logs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Direct export</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WAV, spectral</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Studio recording</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All publicly available datasets can be independently retrieved using the URLs provided in Table 2. The PreParser code is available under MIT license. Checksums for downloaded files are stored in checksums.txt within the HUFv4 repository.</w:t>
      </w:r>
    </w:p>
    <w:p>
      <w:pPr>
        <w:spacing w:after="160" w:before="80"/>
      </w:pPr>
      <w:r>
        <w:rPr>
          <w:rFonts w:ascii="Times New Roman" w:cs="Times New Roman" w:eastAsia="Times New Roman" w:hAnsi="Times New Roman"/>
          <w:i/>
          <w:iCs/>
          <w:color w:val="2E75B6"/>
          <w:sz w:val="20"/>
          <w:szCs w:val="20"/>
        </w:rPr>
        <w:t xml:space="preserve">▶ Code repository: HUFv4/ directory, build_corpus_preparser.js</w:t>
      </w:r>
    </w:p>
    <w:p>
      <w:pPr>
        <w:spacing w:after="160" w:before="80"/>
      </w:pPr>
      <w:r>
        <w:rPr>
          <w:rFonts w:ascii="Times New Roman" w:cs="Times New Roman" w:eastAsia="Times New Roman" w:hAnsi="Times New Roman"/>
          <w:i/>
          <w:iCs/>
          <w:color w:val="2E75B6"/>
          <w:sz w:val="20"/>
          <w:szCs w:val="20"/>
        </w:rPr>
        <w:t xml:space="preserve">▶ Full corpus analysis: HUF_Corpus_PreParser_v1.0.docx</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Sufficiency Frontier: Comparative Landscape</w:t>
      </w:r>
    </w:p>
    <w:p>
      <w:pPr>
        <w:spacing w:after="180" w:line="276"/>
      </w:pPr>
      <w:r>
        <w:rPr>
          <w:rFonts w:ascii="Times New Roman" w:cs="Times New Roman" w:eastAsia="Times New Roman" w:hAnsi="Times New Roman"/>
          <w:color w:val="333333"/>
          <w:sz w:val="22"/>
          <w:szCs w:val="22"/>
        </w:rPr>
        <w:t xml:space="preserve">The following table positions the HUF PreParser relative to established reduction systems. The comparison is descriptive, not competitive: systems at different hierarchy levels solve different problems. Comparing HUF to JPEG is a category error, included only to illustrate the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1500"/>
        <w:gridCol w:w="1500"/>
        <w:gridCol w:w="29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Reconstructible?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Domain-Specific?</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gzip</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(lossless)</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bytes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(quality 50)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(lossy)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MP3 (128 kbps)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Audio only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 fidelity</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H.265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Video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sequence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(95%)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Calibrated</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Variance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Kalman filter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Model-dependent</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 trajectory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 (1,200:1)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1,200:1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Variant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~10²³:1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Physical systems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Thermodynamic observables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PreParser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6,357,738:1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Domain-agnostic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governance statistics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HUF PreParser’s distinguishing feature is not the ratio alone—Boltzmann exceeds it by many orders of magnitude—but the combination of Level 4 reduction with domain agnosticism. Boltzmann requires knowledge of the Hamiltonian; HUF requires only the existence of a budget ceiling. To our knowledge, no prior system achieves Level 4 reduction across arbitrary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External Validation</w:t>
      </w:r>
    </w:p>
    <w:p>
      <w:pPr>
        <w:pStyle w:val="Heading2"/>
        <w:spacing w:after="160" w:before="280"/>
      </w:pPr>
      <w:r>
        <w:rPr>
          <w:rFonts w:ascii="Times New Roman" w:cs="Times New Roman" w:eastAsia="Times New Roman" w:hAnsi="Times New Roman"/>
          <w:b/>
          <w:bCs/>
          <w:color w:val="1F3864"/>
          <w:sz w:val="24"/>
          <w:szCs w:val="24"/>
        </w:rPr>
        <w:t xml:space="preserve">7.1 ESA Planck: Pettitt Changepoint</w:t>
      </w:r>
    </w:p>
    <w:p>
      <w:pPr>
        <w:spacing w:after="180" w:line="276"/>
      </w:pPr>
      <w:r>
        <w:rPr>
          <w:rFonts w:ascii="Times New Roman" w:cs="Times New Roman" w:eastAsia="Times New Roman" w:hAnsi="Times New Roman"/>
          <w:color w:val="333333"/>
          <w:sz w:val="22"/>
          <w:szCs w:val="22"/>
        </w:rPr>
        <w:t xml:space="preserve">The strongest single validation comes from the ESA Planck HFI dataset. The six HFI channels (100–857 GHz) form a frequency portfolio. Applying the Pettitt non-parametric changepoint test [14] to the MDG time series yields a changepoint at Operational Day 975 with p &lt; 0.001.</w:t>
      </w:r>
    </w:p>
    <w:p>
      <w:pPr>
        <w:spacing w:after="180" w:line="276"/>
      </w:pPr>
      <w:r>
        <w:rPr>
          <w:rFonts w:ascii="Times New Roman" w:cs="Times New Roman" w:eastAsia="Times New Roman" w:hAnsi="Times New Roman"/>
          <w:color w:val="333333"/>
          <w:sz w:val="22"/>
          <w:szCs w:val="22"/>
        </w:rPr>
        <w:t xml:space="preserve">ESA’s engineering records document the exhaustion of He-4 cryogen on January 14, 2012, which corresponds to OD 975. The HUF analysis identified the exact operational day of a known physical event from portfolio share changes alone, without access to engineering telemetry, without knowledge of cryogenic physics, and without domain-specific calibration.</w:t>
      </w:r>
    </w:p>
    <w:p>
      <w:pPr>
        <w:pStyle w:val="Heading2"/>
        <w:spacing w:after="160" w:before="280"/>
      </w:pPr>
      <w:r>
        <w:rPr>
          <w:rFonts w:ascii="Times New Roman" w:cs="Times New Roman" w:eastAsia="Times New Roman" w:hAnsi="Times New Roman"/>
          <w:b/>
          <w:bCs/>
          <w:color w:val="1F3864"/>
          <w:sz w:val="24"/>
          <w:szCs w:val="24"/>
        </w:rPr>
        <w:t xml:space="preserve">7.2 King Street Pilot: Interrupted Time Series</w:t>
      </w:r>
    </w:p>
    <w:p>
      <w:pPr>
        <w:spacing w:after="180" w:line="276"/>
      </w:pPr>
      <w:r>
        <w:rPr>
          <w:rFonts w:ascii="Times New Roman" w:cs="Times New Roman" w:eastAsia="Times New Roman" w:hAnsi="Times New Roman"/>
          <w:color w:val="333333"/>
          <w:sz w:val="22"/>
          <w:szCs w:val="22"/>
        </w:rPr>
        <w:t xml:space="preserve">The Toronto King Street Transit Priority Pilot (November 2017) provides a second validation modality. Interrupted Time Series (ITS) analysis of route ridership shares detected a statistically significant level change (β₂) at the intervention point, with 5 out of 5 confirmatory tests passing. The portfolio share analysis detected a differential effect that raw ridership counts obscured.</w:t>
      </w:r>
    </w:p>
    <w:p>
      <w:pPr>
        <w:pStyle w:val="Heading2"/>
        <w:spacing w:after="160" w:before="280"/>
      </w:pPr>
      <w:r>
        <w:rPr>
          <w:rFonts w:ascii="Times New Roman" w:cs="Times New Roman" w:eastAsia="Times New Roman" w:hAnsi="Times New Roman"/>
          <w:b/>
          <w:bCs/>
          <w:color w:val="1F3864"/>
          <w:sz w:val="24"/>
          <w:szCs w:val="24"/>
        </w:rPr>
        <w:t xml:space="preserve">7.3 Three-Domain Confirmation</w:t>
      </w:r>
    </w:p>
    <w:p>
      <w:pPr>
        <w:spacing w:after="180" w:line="276"/>
      </w:pPr>
      <w:r>
        <w:rPr>
          <w:rFonts w:ascii="Times New Roman" w:cs="Times New Roman" w:eastAsia="Times New Roman" w:hAnsi="Times New Roman"/>
          <w:color w:val="333333"/>
          <w:sz w:val="22"/>
          <w:szCs w:val="22"/>
        </w:rPr>
        <w:t xml:space="preserve">Three independent domains—sourdough fermentation (p = 0.021, Pettitt), Croatia Ramsar wetlands (p &lt; 0.0027, ITS), and software CI/CD (p &lt; 0.0001, Fisher exact)—provide formal statistical confirmation using different test methodologies. The absence of structural overlap between the biological, ecological, and digital domains strengthens the domain-agnostic claim.</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King Street analysis: HUF_TTC_CaseStudy_v1.0.docx</w:t>
      </w:r>
    </w:p>
    <w:p>
      <w:pPr>
        <w:spacing w:after="160" w:before="80"/>
      </w:pPr>
      <w:r>
        <w:rPr>
          <w:rFonts w:ascii="Times New Roman" w:cs="Times New Roman" w:eastAsia="Times New Roman" w:hAnsi="Times New Roman"/>
          <w:i/>
          <w:iCs/>
          <w:color w:val="2E75B6"/>
          <w:sz w:val="20"/>
          <w:szCs w:val="20"/>
        </w:rPr>
        <w:t xml:space="preserve">▶ Three-domain evidence: Vol 2, Case Studies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8. Discussion</w:t>
      </w:r>
    </w:p>
    <w:p>
      <w:pPr>
        <w:pStyle w:val="Heading2"/>
        <w:spacing w:after="160" w:before="280"/>
      </w:pPr>
      <w:r>
        <w:rPr>
          <w:rFonts w:ascii="Times New Roman" w:cs="Times New Roman" w:eastAsia="Times New Roman" w:hAnsi="Times New Roman"/>
          <w:b/>
          <w:bCs/>
          <w:color w:val="1F3864"/>
          <w:sz w:val="24"/>
          <w:szCs w:val="24"/>
        </w:rPr>
        <w:t xml:space="preserve">8.1 The Sufficiency Frontier as a Boundary</w:t>
      </w:r>
    </w:p>
    <w:p>
      <w:pPr>
        <w:spacing w:after="180" w:line="276"/>
      </w:pPr>
      <w:r>
        <w:rPr>
          <w:rFonts w:ascii="Times New Roman" w:cs="Times New Roman" w:eastAsia="Times New Roman" w:hAnsi="Times New Roman"/>
          <w:color w:val="333333"/>
          <w:sz w:val="22"/>
          <w:szCs w:val="22"/>
        </w:rPr>
        <w:t xml:space="preserve">The sufficiency frontier is not a single ratio but a boundary in the space of (reduction ratio, inferential preservation). Below it, methods trade fidelity for compression. Above it, methods extract exactly the statistics needed for a specified inference. The boundary’s location depends on the inference: a governance analyst needs portfolio shares; a physicist needs thermodynamic variables; a genomicist needs variant calls. Each defines a different sufficiency frontier for the same data.</w:t>
      </w:r>
    </w:p>
    <w:p>
      <w:pPr>
        <w:pStyle w:val="Heading2"/>
        <w:spacing w:after="160" w:before="280"/>
      </w:pPr>
      <w:r>
        <w:rPr>
          <w:rFonts w:ascii="Times New Roman" w:cs="Times New Roman" w:eastAsia="Times New Roman" w:hAnsi="Times New Roman"/>
          <w:b/>
          <w:bCs/>
          <w:color w:val="1F3864"/>
          <w:sz w:val="24"/>
          <w:szCs w:val="24"/>
        </w:rPr>
        <w:t xml:space="preserve">8.2 Limitations</w:t>
      </w:r>
    </w:p>
    <w:p>
      <w:pPr>
        <w:spacing w:after="180" w:line="276"/>
      </w:pPr>
      <w:r>
        <w:rPr>
          <w:rFonts w:ascii="Times New Roman" w:cs="Times New Roman" w:eastAsia="Times New Roman" w:hAnsi="Times New Roman"/>
          <w:color w:val="333333"/>
          <w:sz w:val="22"/>
          <w:szCs w:val="22"/>
        </w:rPr>
        <w:t xml:space="preserve">Several limitations should be noted. First, the 6,357,738:1 ratio is specific to the current corpus; a different collection of systems would yield a different ratio, though the qualitative Level 4 classification would remain. Second, the sufficiency claim is relative to portfolio governance inference; information relevant to other inferences (e.g., individual record retrieval) is genuinely lost. Third, the domain-agnostic claim requires that the system be expressible as proportional allocation of a fixed total—a condition that, while broad, is not universal.</w:t>
      </w:r>
    </w:p>
    <w:p>
      <w:pPr>
        <w:spacing w:after="180" w:line="276"/>
      </w:pPr>
      <w:r>
        <w:rPr>
          <w:rFonts w:ascii="Times New Roman" w:cs="Times New Roman" w:eastAsia="Times New Roman" w:hAnsi="Times New Roman"/>
          <w:color w:val="333333"/>
          <w:sz w:val="22"/>
          <w:szCs w:val="22"/>
        </w:rPr>
        <w:t xml:space="preserve">Fourth, the comparison to Boltzmann is structural, not quantitative. Boltzmann’s reduction is grounded in the ergodic hypothesis and the second law of thermodynamics; HUF’s reduction is grounded in the unity constraint on the probability simplex. The two reductions are analogous in their structure (massive irreversible collapse preserving sufficient statistics) but operate on different foundational invariants.</w:t>
      </w:r>
    </w:p>
    <w:p>
      <w:pPr>
        <w:pStyle w:val="Heading2"/>
        <w:spacing w:after="160" w:before="280"/>
      </w:pPr>
      <w:r>
        <w:rPr>
          <w:rFonts w:ascii="Times New Roman" w:cs="Times New Roman" w:eastAsia="Times New Roman" w:hAnsi="Times New Roman"/>
          <w:b/>
          <w:bCs/>
          <w:color w:val="1F3864"/>
          <w:sz w:val="24"/>
          <w:szCs w:val="24"/>
        </w:rPr>
        <w:t xml:space="preserve">8.3 Relationship to Companion Work</w:t>
      </w:r>
    </w:p>
    <w:p>
      <w:pPr>
        <w:spacing w:after="180" w:line="276"/>
      </w:pPr>
      <w:r>
        <w:rPr>
          <w:rFonts w:ascii="Times New Roman" w:cs="Times New Roman" w:eastAsia="Times New Roman" w:hAnsi="Times New Roman"/>
          <w:color w:val="333333"/>
          <w:sz w:val="22"/>
          <w:szCs w:val="22"/>
        </w:rPr>
        <w:t xml:space="preserve">This paper (Pillar 1) addresses WHAT HUF extracts. The companion paper (Pillar 2: The Fourth Monitoring Category) addresses HOW HUF observes governance states using the extracted statistics. The nine governance volumes (Vol 0–8) address the operational implementation. Together, the three structures form the HUF Triad, in which each component depends on and strengthens the other two.</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9. The Sufficiency Frontier in Everyday Experience: The Car Analogy</w:t>
      </w:r>
    </w:p>
    <w:p>
      <w:pPr>
        <w:spacing w:after="180" w:line="276"/>
      </w:pPr>
      <w:r>
        <w:rPr>
          <w:rFonts w:ascii="Times New Roman" w:cs="Times New Roman" w:eastAsia="Times New Roman" w:hAnsi="Times New Roman"/>
          <w:color w:val="333333"/>
          <w:sz w:val="22"/>
          <w:szCs w:val="22"/>
        </w:rPr>
        <w:t xml:space="preserve">The sufficiency frontier is an abstract concept that governs the behavior of all finite-budget systems. The following everyday analogy provides intuition for how the frontier operates and why the ratio tells a story that absolute numbers cannot.</w:t>
      </w:r>
    </w:p>
    <w:p>
      <w:pPr>
        <w:pStyle w:val="Heading2"/>
        <w:spacing w:after="160" w:before="280"/>
      </w:pPr>
      <w:r>
        <w:rPr>
          <w:rFonts w:ascii="Times New Roman" w:cs="Times New Roman" w:eastAsia="Times New Roman" w:hAnsi="Times New Roman"/>
          <w:b/>
          <w:bCs/>
          <w:color w:val="1F3864"/>
          <w:sz w:val="24"/>
          <w:szCs w:val="24"/>
        </w:rPr>
        <w:t xml:space="preserve">9.1 The Initial Condition: A Full Tank</w:t>
      </w:r>
    </w:p>
    <w:p>
      <w:pPr>
        <w:spacing w:after="180" w:line="276"/>
      </w:pPr>
      <w:r>
        <w:rPr>
          <w:rFonts w:ascii="Times New Roman" w:cs="Times New Roman" w:eastAsia="Times New Roman" w:hAnsi="Times New Roman"/>
          <w:color w:val="333333"/>
          <w:sz w:val="22"/>
          <w:szCs w:val="22"/>
        </w:rPr>
        <w:t xml:space="preserve">You get in your car. The tank is full. The budget is 1.0—the complete total available to the system. In a typical arrangement, the driver is an active agent (like the fuel, a physical substance, but unlike fuel, the driver exercises volitional control). At the start of the journey, suppose the system state is 51% driver presence and 49% fuel. Both are present, both are necessary, and their ratio defines the initial system state: ρ = (0.51, 0.49). The unity constraint is satisfied: 0.51 + 0.49 = 1.0.</w:t>
      </w:r>
    </w:p>
    <w:p>
      <w:pPr>
        <w:pStyle w:val="Heading2"/>
        <w:spacing w:after="160" w:before="280"/>
      </w:pPr>
      <w:r>
        <w:rPr>
          <w:rFonts w:ascii="Times New Roman" w:cs="Times New Roman" w:eastAsia="Times New Roman" w:hAnsi="Times New Roman"/>
          <w:b/>
          <w:bCs/>
          <w:color w:val="1F3864"/>
          <w:sz w:val="24"/>
          <w:szCs w:val="24"/>
        </w:rPr>
        <w:t xml:space="preserve">9.2 The Ratio Signal During the Journey</w:t>
      </w:r>
    </w:p>
    <w:p>
      <w:pPr>
        <w:spacing w:after="180" w:line="276"/>
      </w:pPr>
      <w:r>
        <w:rPr>
          <w:rFonts w:ascii="Times New Roman" w:cs="Times New Roman" w:eastAsia="Times New Roman" w:hAnsi="Times New Roman"/>
          <w:color w:val="333333"/>
          <w:sz w:val="22"/>
          <w:szCs w:val="22"/>
        </w:rPr>
        <w:t xml:space="preserve">As you drive, the fuel diminishes. At the same time, the driver’s role (attention, focus, active engagement) may intensify or diminish depending on conditions. What matters for understanding system health is not the absolute amount of fuel remaining, but the ratio of driver to fuel. As the tank empties, the ratio shifts: 51/49 → 55/45 → 70/30 → 90/10. Each point in this sequence represents a different system state, and each state lies on the probability simplex S² (a 1-dimensional simplex, since K = 2 components always sum to 1.0).</w:t>
      </w:r>
    </w:p>
    <w:p>
      <w:pPr>
        <w:spacing w:after="180" w:line="276"/>
      </w:pPr>
      <w:r>
        <w:rPr>
          <w:rFonts w:ascii="Times New Roman" w:cs="Times New Roman" w:eastAsia="Times New Roman" w:hAnsi="Times New Roman"/>
          <w:color w:val="333333"/>
          <w:sz w:val="22"/>
          <w:szCs w:val="22"/>
        </w:rPr>
        <w:t xml:space="preserve">The ratio is the signal. Absolute fuel volume is not. This is the key insight of the sufficiency frontier: you do not need to know how many gallons remain. You need to know the proportion of the budget allocated to each element. That proportion tells you whether the system can sustain its intended function.</w:t>
      </w:r>
    </w:p>
    <w:p>
      <w:pPr>
        <w:pStyle w:val="Heading2"/>
        <w:spacing w:after="160" w:before="280"/>
      </w:pPr>
      <w:r>
        <w:rPr>
          <w:rFonts w:ascii="Times New Roman" w:cs="Times New Roman" w:eastAsia="Times New Roman" w:hAnsi="Times New Roman"/>
          <w:b/>
          <w:bCs/>
          <w:color w:val="1F3864"/>
          <w:sz w:val="24"/>
          <w:szCs w:val="24"/>
        </w:rPr>
        <w:t xml:space="preserve">9.3 The Sufficiency Frontier: The Critical Threshold</w:t>
      </w:r>
    </w:p>
    <w:p>
      <w:pPr>
        <w:spacing w:after="180" w:line="276"/>
      </w:pPr>
      <w:r>
        <w:rPr>
          <w:rFonts w:ascii="Times New Roman" w:cs="Times New Roman" w:eastAsia="Times New Roman" w:hAnsi="Times New Roman"/>
          <w:color w:val="333333"/>
          <w:sz w:val="22"/>
          <w:szCs w:val="22"/>
        </w:rPr>
        <w:t xml:space="preserve">As you continue driving, at some point the ratio reaches a critical threshold. The sufficiency frontier for this particular journey—given road conditions, speed, engine efficiency, and destination—is the fuel level below which the driver/fuel system can no longer sustain forward progress. It is not zero. It is the threshold where the ratio becomes unsustainable. Below the frontier, the system cannot complete its mission. Above the frontier, the system retains sufficient agency and resource to adapt and continue.</w:t>
      </w:r>
    </w:p>
    <w:p>
      <w:pPr>
        <w:spacing w:after="180" w:line="276"/>
      </w:pPr>
      <w:r>
        <w:rPr>
          <w:rFonts w:ascii="Times New Roman" w:cs="Times New Roman" w:eastAsia="Times New Roman" w:hAnsi="Times New Roman"/>
          <w:color w:val="333333"/>
          <w:sz w:val="22"/>
          <w:szCs w:val="22"/>
        </w:rPr>
        <w:t xml:space="preserve">For example, if your destination is 200 kilometers away and current efficiency is 10 kilometers per liter, the frontier might occur at roughly 20 liters of fuel remaining (the system minimum to reach the destination). Once fuel drops below that level relative to the distance remaining, the system has crossed the frontier. The driver still exists, but the system state has become untenable.</w:t>
      </w:r>
    </w:p>
    <w:p>
      <w:pPr>
        <w:pStyle w:val="Heading2"/>
        <w:spacing w:after="160" w:before="280"/>
      </w:pPr>
      <w:r>
        <w:rPr>
          <w:rFonts w:ascii="Times New Roman" w:cs="Times New Roman" w:eastAsia="Times New Roman" w:hAnsi="Times New Roman"/>
          <w:b/>
          <w:bCs/>
          <w:color w:val="1F3864"/>
          <w:sz w:val="24"/>
          <w:szCs w:val="24"/>
        </w:rPr>
        <w:t xml:space="preserve">9.4 Collapse Below the Frontier: Unity Exhausted, Not Violated</w:t>
      </w:r>
    </w:p>
    <w:p>
      <w:pPr>
        <w:spacing w:after="180" w:line="276"/>
      </w:pPr>
      <w:r>
        <w:rPr>
          <w:rFonts w:ascii="Times New Roman" w:cs="Times New Roman" w:eastAsia="Times New Roman" w:hAnsi="Times New Roman"/>
          <w:color w:val="333333"/>
          <w:sz w:val="22"/>
          <w:szCs w:val="22"/>
        </w:rPr>
        <w:t xml:space="preserve">What happens when fuel hits zero? The driver still exists as an entity. The unity constraint Σρᵢ = 1 still holds mathematically. But the system has collapsed to ground state: ρ = (1.0, 0.0). The driver remains, but the driver/fuel system as a functional unit has ceased. The car does not move. Unity is exhausted, not violated. The budget is completely allocated to one element, leaving no proportion for the other.</w:t>
      </w:r>
    </w:p>
    <w:p>
      <w:pPr>
        <w:pStyle w:val="Heading2"/>
        <w:spacing w:after="160" w:before="280"/>
      </w:pPr>
      <w:r>
        <w:rPr>
          <w:rFonts w:ascii="Times New Roman" w:cs="Times New Roman" w:eastAsia="Times New Roman" w:hAnsi="Times New Roman"/>
          <w:b/>
          <w:bCs/>
          <w:color w:val="1F3864"/>
          <w:sz w:val="24"/>
          <w:szCs w:val="24"/>
        </w:rPr>
        <w:t xml:space="preserve">9.5 The Deceptive Drift: Rising Share as Death Signal</w:t>
      </w:r>
    </w:p>
    <w:p>
      <w:pPr>
        <w:spacing w:after="180" w:line="276"/>
      </w:pPr>
      <w:r>
        <w:rPr>
          <w:rFonts w:ascii="Times New Roman" w:cs="Times New Roman" w:eastAsia="Times New Roman" w:hAnsi="Times New Roman"/>
          <w:color w:val="333333"/>
          <w:sz w:val="22"/>
          <w:szCs w:val="22"/>
        </w:rPr>
        <w:t xml:space="preserve">Here is the critical insight that the car analogy reveals: The operator’s share is not a success signal; it is a depletion signal.</w:t>
      </w:r>
    </w:p>
    <w:p>
      <w:pPr>
        <w:spacing w:after="180" w:line="276"/>
      </w:pPr>
      <w:r>
        <w:rPr>
          <w:rFonts w:ascii="Times New Roman" w:cs="Times New Roman" w:eastAsia="Times New Roman" w:hAnsi="Times New Roman"/>
          <w:color w:val="333333"/>
          <w:sz w:val="22"/>
          <w:szCs w:val="22"/>
        </w:rPr>
        <w:t xml:space="preserve">As you drive and fuel depletes, the driver/fuel ratio shifts: 51/49 → 55/45 → 70/30 → 85/15 → 95/5. Each step appears to show the driver gaining control. "I am 95% of this system now." But the driver has not gained anything. The fuel left. The operator’s rising share is the signature of depletion, not strength.</w:t>
      </w:r>
    </w:p>
    <w:p>
      <w:pPr>
        <w:spacing w:after="180" w:line="276"/>
      </w:pPr>
      <w:r>
        <w:rPr>
          <w:rFonts w:ascii="Times New Roman" w:cs="Times New Roman" w:eastAsia="Times New Roman" w:hAnsi="Times New Roman"/>
          <w:color w:val="333333"/>
          <w:sz w:val="22"/>
          <w:szCs w:val="22"/>
        </w:rPr>
        <w:t xml:space="preserve">This is the deceptive drift: a system at 95/5 has 5% remaining before ground state. One more long journey and the system reaches 100/0—unity exhausted, driver alone, system collapsed. The increasing operator share looks like success to the unaware observer. To the governance system watching the ratio, it is a death signal.</w:t>
      </w:r>
    </w:p>
    <w:p>
      <w:pPr>
        <w:spacing w:after="180" w:line="276"/>
      </w:pPr>
      <w:r>
        <w:rPr>
          <w:rFonts w:ascii="Times New Roman" w:cs="Times New Roman" w:eastAsia="Times New Roman" w:hAnsi="Times New Roman"/>
          <w:color w:val="333333"/>
          <w:sz w:val="22"/>
          <w:szCs w:val="22"/>
        </w:rPr>
        <w:t xml:space="preserve">This is OCC drift. The tool (fuel) is depleting until it can no longer support the operator. The tool is not broken. The operator is still capable. But the driver/fuel system—the relationship between them—has hit ground state.</w:t>
      </w:r>
    </w:p>
    <w:p>
      <w:pPr>
        <w:spacing w:after="180" w:line="276"/>
      </w:pPr>
      <w:r>
        <w:rPr>
          <w:rFonts w:ascii="Times New Roman" w:cs="Times New Roman" w:eastAsia="Times New Roman" w:hAnsi="Times New Roman"/>
          <w:color w:val="333333"/>
          <w:sz w:val="22"/>
          <w:szCs w:val="22"/>
        </w:rPr>
        <w:t xml:space="preserve">If the operator is not watching the fuel gauge (MC-4), the first indication of failure is the abrupt inform: the engine stops, the car is on the side of the road, no gradual warning signal. There is no degradation at the boundary. The Sufficiency Frontier is a cliff, not a slope. Below it, the system informs abruptly.</w:t>
      </w:r>
    </w:p>
    <w:p>
      <w:pPr>
        <w:spacing w:after="180" w:line="276"/>
      </w:pPr>
      <w:r>
        <w:rPr>
          <w:rFonts w:ascii="Times New Roman" w:cs="Times New Roman" w:eastAsia="Times New Roman" w:hAnsi="Times New Roman"/>
          <w:color w:val="333333"/>
          <w:sz w:val="22"/>
          <w:szCs w:val="22"/>
        </w:rPr>
        <w:t xml:space="preserve">MC-4’s entire job is to watch this ratio trajectory and warn before the abrupt inform. The ratio moving from 51/49 toward 100/0 is the signal. The absolute fuel level is noise. A department whose budget share grows because other departments are being cut looks like it is thriving—but the organization is dying. The ratio drift toward 100/0 is concentration risk approaching collapse. MC-4 makes the drift visible before the cliff.</w:t>
      </w:r>
    </w:p>
    <w:p>
      <w:pPr>
        <w:pStyle w:val="Heading2"/>
        <w:spacing w:after="160" w:before="280"/>
      </w:pPr>
      <w:r>
        <w:rPr>
          <w:rFonts w:ascii="Times New Roman" w:cs="Times New Roman" w:eastAsia="Times New Roman" w:hAnsi="Times New Roman"/>
          <w:b/>
          <w:bCs/>
          <w:color w:val="1F3864"/>
          <w:sz w:val="24"/>
          <w:szCs w:val="24"/>
        </w:rPr>
        <w:t xml:space="preserve">9.6 The Absolute vs. Relative Paradox</w:t>
      </w:r>
    </w:p>
    <w:p>
      <w:pPr>
        <w:spacing w:after="180" w:line="276"/>
      </w:pPr>
      <w:r>
        <w:rPr>
          <w:rFonts w:ascii="Times New Roman" w:cs="Times New Roman" w:eastAsia="Times New Roman" w:hAnsi="Times New Roman"/>
          <w:color w:val="333333"/>
          <w:sz w:val="22"/>
          <w:szCs w:val="22"/>
        </w:rPr>
        <w:t xml:space="preserve">Here is the critical insight that the analogy reveals: Two scenarios can contain the same absolute amount of fuel but represent completely different system states:</w:t>
      </w:r>
    </w:p>
    <w:p>
      <w:pPr>
        <w:spacing w:after="180" w:line="276"/>
      </w:pPr>
      <w:r>
        <w:rPr>
          <w:rFonts w:ascii="Times New Roman" w:cs="Times New Roman" w:eastAsia="Times New Roman" w:hAnsi="Times New Roman"/>
          <w:b/>
          <w:bCs/>
          <w:color w:val="333333"/>
          <w:sz w:val="22"/>
          <w:szCs w:val="22"/>
        </w:rPr>
        <w:t xml:space="preserve">Scenario A: </w:t>
      </w:r>
      <w:r>
        <w:rPr>
          <w:rFonts w:ascii="Times New Roman" w:cs="Times New Roman" w:eastAsia="Times New Roman" w:hAnsi="Times New Roman"/>
          <w:color w:val="333333"/>
          <w:sz w:val="22"/>
          <w:szCs w:val="22"/>
        </w:rPr>
        <w:t xml:space="preserve">2 gallons of fuel in a 4-gallon tank. Ratio: 50/50 (driver and fuel are co-equal). System state: (0.5, 0.5).</w:t>
      </w:r>
    </w:p>
    <w:p>
      <w:pPr>
        <w:spacing w:after="180" w:line="276"/>
      </w:pPr>
      <w:r>
        <w:rPr>
          <w:rFonts w:ascii="Times New Roman" w:cs="Times New Roman" w:eastAsia="Times New Roman" w:hAnsi="Times New Roman"/>
          <w:b/>
          <w:bCs/>
          <w:color w:val="333333"/>
          <w:sz w:val="22"/>
          <w:szCs w:val="22"/>
        </w:rPr>
        <w:t xml:space="preserve">Scenario B: </w:t>
      </w:r>
      <w:r>
        <w:rPr>
          <w:rFonts w:ascii="Times New Roman" w:cs="Times New Roman" w:eastAsia="Times New Roman" w:hAnsi="Times New Roman"/>
          <w:color w:val="333333"/>
          <w:sz w:val="22"/>
          <w:szCs w:val="22"/>
        </w:rPr>
        <w:t xml:space="preserve">2 gallons of fuel in a 40-gallon tank. Ratio: 95/5 (driver dominates, fuel is nearly exhausted). System state: (0.95, 0.05).</w:t>
      </w:r>
    </w:p>
    <w:p>
      <w:pPr>
        <w:spacing w:after="180" w:line="276"/>
      </w:pPr>
      <w:r>
        <w:rPr>
          <w:rFonts w:ascii="Times New Roman" w:cs="Times New Roman" w:eastAsia="Times New Roman" w:hAnsi="Times New Roman"/>
          <w:color w:val="333333"/>
          <w:sz w:val="22"/>
          <w:szCs w:val="22"/>
        </w:rPr>
        <w:t xml:space="preserve">The absolute fuel quantity is identical in both cases: 2 gallons. But the system state is radically different. In Scenario A, the system is balanced and healthy. In Scenario B, the system is near critical collapse. The ratio tells the truth; the absolute number hides it. This is why the sufficiency frontier is defined in terms of ratio, not absolute magnitude.</w:t>
      </w:r>
    </w:p>
    <w:p>
      <w:pPr>
        <w:pStyle w:val="Heading2"/>
        <w:spacing w:after="160" w:before="280"/>
      </w:pPr>
      <w:r>
        <w:rPr>
          <w:rFonts w:ascii="Times New Roman" w:cs="Times New Roman" w:eastAsia="Times New Roman" w:hAnsi="Times New Roman"/>
          <w:b/>
          <w:bCs/>
          <w:color w:val="1F3864"/>
          <w:sz w:val="24"/>
          <w:szCs w:val="24"/>
        </w:rPr>
        <w:t xml:space="preserve">9.7 Mapping Back to HUF and the Probability Simplex</w:t>
      </w:r>
    </w:p>
    <w:p>
      <w:pPr>
        <w:spacing w:after="180" w:line="276"/>
      </w:pPr>
      <w:r>
        <w:rPr>
          <w:rFonts w:ascii="Times New Roman" w:cs="Times New Roman" w:eastAsia="Times New Roman" w:hAnsi="Times New Roman"/>
          <w:color w:val="333333"/>
          <w:sz w:val="22"/>
          <w:szCs w:val="22"/>
        </w:rPr>
        <w:t xml:space="preserve">Every HUF ratio portfolio has a boundary below which the ratio becomes unsustainable for its intended function. That boundary is the sufficiency frontier. For a given system operating in a given context, the frontier defines the set of ratio states that are adequate for governance.</w:t>
      </w:r>
    </w:p>
    <w:p>
      <w:pPr>
        <w:spacing w:after="180" w:line="276"/>
      </w:pPr>
      <w:r>
        <w:rPr>
          <w:rFonts w:ascii="Times New Roman" w:cs="Times New Roman" w:eastAsia="Times New Roman" w:hAnsi="Times New Roman"/>
          <w:color w:val="333333"/>
          <w:sz w:val="22"/>
          <w:szCs w:val="22"/>
        </w:rPr>
        <w:t xml:space="preserve">Consider the Planck HFI frequency portfolio. The six channels span 100–857 GHz. Each channel contributes a share of the total information budget. As the cryogenic cooling degrades, the allocation of signal power across channels shifts (analogous to fuel disappearing while the driver remains). The sufficiency frontier for Planck’s HFI is the boundary where the six-channel ratio becomes incapable of supporting astrophysical observation. The Pettitt test detected this frontier at OD 975 by observing a discontinuity in the time series of MDG, which tracks deviations in the ratio state from its nominal baseline.</w:t>
      </w:r>
    </w:p>
    <w:p>
      <w:pPr>
        <w:spacing w:after="180" w:line="276"/>
      </w:pPr>
      <w:r>
        <w:rPr>
          <w:rFonts w:ascii="Times New Roman" w:cs="Times New Roman" w:eastAsia="Times New Roman" w:hAnsi="Times New Roman"/>
          <w:color w:val="333333"/>
          <w:sz w:val="22"/>
          <w:szCs w:val="22"/>
        </w:rPr>
        <w:t xml:space="preserve">The car never “reaches” the Planck frontier because the analogy breaks at different scales and constraints. But the structural principle is identical: a ratio-based boundary exists, below which the system degrades from functional to non-functional, and this boundary encodes critical information that absolute measurements obscure.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Adaptive Scope: Matching the Observation to the Data</w:t>
      </w:r>
    </w:p>
    <w:p>
      <w:pPr>
        <w:spacing w:after="180" w:line="276"/>
      </w:pPr>
      <w:r>
        <w:rPr>
          <w:rFonts w:ascii="Times New Roman" w:cs="Times New Roman" w:eastAsia="Times New Roman" w:hAnsi="Times New Roman"/>
          <w:color w:val="333333"/>
          <w:sz w:val="22"/>
          <w:szCs w:val="22"/>
        </w:rPr>
        <w:t xml:space="preserve">The HUF framework operates on a fundamental principle: every system is nested inside a larger system and contains smaller systems. The unity constraint holds at every scale—but only within a defined scope. This section introduces Adaptive Scope with Dynamic OCC Drift Monitoring and Dynamic Portfolio Gating, the framework for managing what is observed and how the observation boundary adapts as data changes.</w:t>
      </w:r>
    </w:p>
    <w:p>
      <w:pPr>
        <w:pStyle w:val="Heading2"/>
        <w:spacing w:after="160" w:before="280"/>
      </w:pPr>
      <w:r>
        <w:rPr>
          <w:rFonts w:ascii="Times New Roman" w:cs="Times New Roman" w:eastAsia="Times New Roman" w:hAnsi="Times New Roman"/>
          <w:b/>
          <w:bCs/>
          <w:color w:val="1F3864"/>
          <w:sz w:val="24"/>
          <w:szCs w:val="24"/>
        </w:rPr>
        <w:t xml:space="preserve">10.1 The Nested System Principle</w:t>
      </w:r>
    </w:p>
    <w:p>
      <w:pPr>
        <w:spacing w:after="180" w:line="276"/>
      </w:pPr>
      <w:r>
        <w:rPr>
          <w:rFonts w:ascii="Times New Roman" w:cs="Times New Roman" w:eastAsia="Times New Roman" w:hAnsi="Times New Roman"/>
          <w:color w:val="333333"/>
          <w:sz w:val="22"/>
          <w:szCs w:val="22"/>
        </w:rPr>
        <w:t xml:space="preserve">Consider the structure of complex systems. Claude is a system. Claude plus an operator is a system. The operator plus family forms a system. The collective of all humans is a system. The same mathematical structure appears at every scale. Each system has a budget ceiling (total information processing capacity, total energy, total attention), a set of elements (components, stakeholders, subsystems), and shares that sum to 1.0.</w:t>
      </w:r>
    </w:p>
    <w:p>
      <w:pPr>
        <w:spacing w:after="180" w:line="276"/>
      </w:pPr>
      <w:r>
        <w:rPr>
          <w:rFonts w:ascii="Times New Roman" w:cs="Times New Roman" w:eastAsia="Times New Roman" w:hAnsi="Times New Roman"/>
          <w:color w:val="333333"/>
          <w:sz w:val="22"/>
          <w:szCs w:val="22"/>
        </w:rPr>
        <w:t xml:space="preserve">The critical observation is this: the unity constraint holds perfectly at each scale, but the meaning of the elements changes with the scope. At the scale of Claude alone, the elements might be attention mechanisms and computation modules. At the scale of Claude plus operator, the elements become Claude-as-a-system and the operator-as-a-system. At the scale of family, the elements are individual family members. The math is identical; the interpretation changes with scope.</w:t>
      </w:r>
    </w:p>
    <w:p>
      <w:pPr>
        <w:spacing w:after="180" w:line="276"/>
      </w:pPr>
      <w:r>
        <w:rPr>
          <w:rFonts w:ascii="Times New Roman" w:cs="Times New Roman" w:eastAsia="Times New Roman" w:hAnsi="Times New Roman"/>
          <w:color w:val="333333"/>
          <w:sz w:val="22"/>
          <w:szCs w:val="22"/>
        </w:rPr>
        <w:t xml:space="preserve">This raises a profound question: What defines the correct scope for observation? The answer is: the scope must match the data actually present. If you choose a scope that includes elements with no data, the unity constraint becomes meaningless—those elements are theoretical, not observed. The solution is not to guess or estimate their shares. The solution is to adjust the scope.</w:t>
      </w:r>
    </w:p>
    <w:p>
      <w:pPr>
        <w:pStyle w:val="Heading2"/>
        <w:spacing w:after="160" w:before="280"/>
      </w:pPr>
      <w:r>
        <w:rPr>
          <w:rFonts w:ascii="Times New Roman" w:cs="Times New Roman" w:eastAsia="Times New Roman" w:hAnsi="Times New Roman"/>
          <w:b/>
          <w:bCs/>
          <w:color w:val="1F3864"/>
          <w:sz w:val="24"/>
          <w:szCs w:val="24"/>
        </w:rPr>
        <w:t xml:space="preserve">10.2 Center Frequency and Bandwidth of Observation</w:t>
      </w:r>
    </w:p>
    <w:p>
      <w:pPr>
        <w:spacing w:after="180" w:line="276"/>
      </w:pPr>
      <w:r>
        <w:rPr>
          <w:rFonts w:ascii="Times New Roman" w:cs="Times New Roman" w:eastAsia="Times New Roman" w:hAnsi="Times New Roman"/>
          <w:color w:val="333333"/>
          <w:sz w:val="22"/>
          <w:szCs w:val="22"/>
        </w:rPr>
        <w:t xml:space="preserve">The choice of observation scope has an acoustic analogy. A bandpass filter has a center frequency and a bandwidth. The center frequency locates where the filter listens. The bandwidth defines the range of frequencies it captures. The same idea applies to HUF observation scopes.</w:t>
      </w:r>
    </w:p>
    <w:p>
      <w:pPr>
        <w:spacing w:after="180" w:line="276"/>
      </w:pPr>
      <w:r>
        <w:rPr>
          <w:rFonts w:ascii="Times New Roman" w:cs="Times New Roman" w:eastAsia="Times New Roman" w:hAnsi="Times New Roman"/>
          <w:color w:val="333333"/>
          <w:sz w:val="22"/>
          <w:szCs w:val="22"/>
        </w:rPr>
        <w:t xml:space="preserve">In an acoustic filter, if the center frequency is set to 1000 Hz and the bandwidth is 200 Hz, the filter listens from 900 Hz to 1100 Hz. Frequencies outside that range are attenuated. The observation is optimized for the frequencies of interest within the bandwidth.</w:t>
      </w:r>
    </w:p>
    <w:p>
      <w:pPr>
        <w:spacing w:after="180" w:line="276"/>
      </w:pPr>
      <w:r>
        <w:rPr>
          <w:rFonts w:ascii="Times New Roman" w:cs="Times New Roman" w:eastAsia="Times New Roman" w:hAnsi="Times New Roman"/>
          <w:color w:val="333333"/>
          <w:sz w:val="22"/>
          <w:szCs w:val="22"/>
        </w:rPr>
        <w:t xml:space="preserve">Similarly, HUF’s observation scope has a focal system (center frequency) and a range of included subsystems (bandwidth). The focal system is the one you are primarily concerned with. The bandwidth is the range of other systems and scales you include in the ratio state.</w:t>
      </w:r>
    </w:p>
    <w:p>
      <w:pPr>
        <w:spacing w:after="180" w:line="276"/>
      </w:pPr>
      <w:r>
        <w:rPr>
          <w:rFonts w:ascii="Times New Roman" w:cs="Times New Roman" w:eastAsia="Times New Roman" w:hAnsi="Times New Roman"/>
          <w:color w:val="333333"/>
          <w:sz w:val="22"/>
          <w:szCs w:val="22"/>
        </w:rPr>
        <w:t xml:space="preserve">The practical rule: if your observation includes elements where you have no data or cannot compute shares, narrow the bandwidth. Exclude those elements from the active portfolio. The unity constraint applies only to the elements you can actually observe. As new data arrives or becomes available, you can widen the bandwidth and bring in previously excluded elements.</w:t>
      </w:r>
    </w:p>
    <w:p>
      <w:pPr>
        <w:spacing w:after="180" w:line="276"/>
      </w:pPr>
      <w:r>
        <w:rPr>
          <w:rFonts w:ascii="Times New Roman" w:cs="Times New Roman" w:eastAsia="Times New Roman" w:hAnsi="Times New Roman"/>
          <w:color w:val="333333"/>
          <w:sz w:val="22"/>
          <w:szCs w:val="22"/>
        </w:rPr>
        <w:t xml:space="preserve">This is not loss of information. It is correct scoping. A department that cannot access financial data from a supplier should not include that supplier in its budget ratio. Once the supplier’s data becomes available, the scope can be expanded to include it.</w:t>
      </w:r>
    </w:p>
    <w:p>
      <w:pPr>
        <w:pStyle w:val="Heading2"/>
        <w:spacing w:after="160" w:before="280"/>
      </w:pPr>
      <w:r>
        <w:rPr>
          <w:rFonts w:ascii="Times New Roman" w:cs="Times New Roman" w:eastAsia="Times New Roman" w:hAnsi="Times New Roman"/>
          <w:b/>
          <w:bCs/>
          <w:color w:val="1F3864"/>
          <w:sz w:val="24"/>
          <w:szCs w:val="24"/>
        </w:rPr>
        <w:t xml:space="preserve">10.3 Dynamic Portfolio Gating</w:t>
      </w:r>
    </w:p>
    <w:p>
      <w:pPr>
        <w:spacing w:after="180" w:line="276"/>
      </w:pPr>
      <w:r>
        <w:rPr>
          <w:rFonts w:ascii="Times New Roman" w:cs="Times New Roman" w:eastAsia="Times New Roman" w:hAnsi="Times New Roman"/>
          <w:color w:val="333333"/>
          <w:sz w:val="22"/>
          <w:szCs w:val="22"/>
        </w:rPr>
        <w:t xml:space="preserve">In neural networks, a softmax gate or attention mechanism selects which inputs are active in computation based on their magnitude. In audio engineering, a noise gate silences signals below a threshold, activating only signals above the noise floor. These gating mechanisms adapt in real time based on the data.</w:t>
      </w:r>
    </w:p>
    <w:p>
      <w:pPr>
        <w:spacing w:after="180" w:line="276"/>
      </w:pPr>
      <w:r>
        <w:rPr>
          <w:rFonts w:ascii="Times New Roman" w:cs="Times New Roman" w:eastAsia="Times New Roman" w:hAnsi="Times New Roman"/>
          <w:color w:val="333333"/>
          <w:sz w:val="22"/>
          <w:szCs w:val="22"/>
        </w:rPr>
        <w:t xml:space="preserve">Dynamic portfolio gating applies the same principle to HUF observation. Elements in the portfolio have a noise floor—a minimum significance or observability threshold. Elements above this threshold are included in the active portfolio and contribute to the ratio state. Elements below the threshold are gated out (not deleted, just excluded from the active calculation). As new data arrives, the gate re-evaluates: elements that were below threshold may now rise above it and enter the active set. Elements that drop below threshold exit.</w:t>
      </w:r>
    </w:p>
    <w:p>
      <w:pPr>
        <w:spacing w:after="180" w:line="276"/>
      </w:pPr>
      <w:r>
        <w:rPr>
          <w:rFonts w:ascii="Times New Roman" w:cs="Times New Roman" w:eastAsia="Times New Roman" w:hAnsi="Times New Roman"/>
          <w:color w:val="333333"/>
          <w:sz w:val="22"/>
          <w:szCs w:val="22"/>
        </w:rPr>
        <w:t xml:space="preserve">The mathematics remain consistent: the unity constraint applies to the gated set. Σρᵢ = 1 only for the elements currently in the active portfolio. When the gate status changes, the ratio state is recomputed over the new gated set. The trace record documents when elements enter and leave the gated portfolio and why.</w:t>
      </w:r>
    </w:p>
    <w:p>
      <w:pPr>
        <w:spacing w:after="180" w:line="276"/>
      </w:pPr>
      <w:r>
        <w:rPr>
          <w:rFonts w:ascii="Times New Roman" w:cs="Times New Roman" w:eastAsia="Times New Roman" w:hAnsi="Times New Roman"/>
          <w:color w:val="333333"/>
          <w:sz w:val="22"/>
          <w:szCs w:val="22"/>
        </w:rPr>
        <w:t xml:space="preserve">This mechanism prevents false precision. If you have five potential elements in a system but only three produce observable data, you compute shares over the three. The two without data are not assigned zero share (which would be mathematically false); they are gated out. Once data arrives, they re-enter automatically.</w:t>
      </w:r>
    </w:p>
    <w:p>
      <w:pPr>
        <w:pStyle w:val="Heading2"/>
        <w:spacing w:after="160" w:before="280"/>
      </w:pPr>
      <w:r>
        <w:rPr>
          <w:rFonts w:ascii="Times New Roman" w:cs="Times New Roman" w:eastAsia="Times New Roman" w:hAnsi="Times New Roman"/>
          <w:b/>
          <w:bCs/>
          <w:color w:val="1F3864"/>
          <w:sz w:val="24"/>
          <w:szCs w:val="24"/>
        </w:rPr>
        <w:t xml:space="preserve">10.4 The Sufficiency Frontier at Multiple Scales</w:t>
      </w:r>
    </w:p>
    <w:p>
      <w:pPr>
        <w:spacing w:after="180" w:line="276"/>
      </w:pPr>
      <w:r>
        <w:rPr>
          <w:rFonts w:ascii="Times New Roman" w:cs="Times New Roman" w:eastAsia="Times New Roman" w:hAnsi="Times New Roman"/>
          <w:color w:val="333333"/>
          <w:sz w:val="22"/>
          <w:szCs w:val="22"/>
        </w:rPr>
        <w:t xml:space="preserve">The sufficiency frontier is not unique to HUF’s corpus analysis. The frontier exists at every scale and in every domain where proportional allocation matters.</w:t>
      </w:r>
    </w:p>
    <w:p>
      <w:pPr>
        <w:spacing w:after="180" w:line="276"/>
      </w:pPr>
      <w:r>
        <w:rPr>
          <w:rFonts w:ascii="Times New Roman" w:cs="Times New Roman" w:eastAsia="Times New Roman" w:hAnsi="Times New Roman"/>
          <w:color w:val="333333"/>
          <w:sz w:val="22"/>
          <w:szCs w:val="22"/>
        </w:rPr>
        <w:t xml:space="preserve">A cell has a sufficiency frontier. The critical boundary is the concentration of regulatory signals and resources that allows the cell to sustain function. Below that frontier, the cell cannot maintain structure and dies. Above it, the cell is viable. The same ratio-based logic that governs HUF’s portfolio analysis governs the cell’s resource allocation between nucleus, cytoplasm, and organelles.</w:t>
      </w:r>
    </w:p>
    <w:p>
      <w:pPr>
        <w:spacing w:after="180" w:line="276"/>
      </w:pPr>
      <w:r>
        <w:rPr>
          <w:rFonts w:ascii="Times New Roman" w:cs="Times New Roman" w:eastAsia="Times New Roman" w:hAnsi="Times New Roman"/>
          <w:color w:val="333333"/>
          <w:sz w:val="22"/>
          <w:szCs w:val="22"/>
        </w:rPr>
        <w:t xml:space="preserve">A department has a sufficiency frontier. The critical boundary is the balance of operator attention (management), tool capacity (budget), and external communication that allows the department to deliver its function. Below that frontier, the department cannot sustain its mandate and fails or restructures. The OCC 51/49 contract places the declared intent above the frontier; MC-4 monitoring detects if silent drift is approaching the frontier from below.</w:t>
      </w:r>
    </w:p>
    <w:p>
      <w:pPr>
        <w:spacing w:after="180" w:line="276"/>
      </w:pPr>
      <w:r>
        <w:rPr>
          <w:rFonts w:ascii="Times New Roman" w:cs="Times New Roman" w:eastAsia="Times New Roman" w:hAnsi="Times New Roman"/>
          <w:color w:val="333333"/>
          <w:sz w:val="22"/>
          <w:szCs w:val="22"/>
        </w:rPr>
        <w:t xml:space="preserve">An organization has a sufficiency frontier. The critical boundary is the balance of stakeholder confidence, financial liquidity, and operational capacity that allows the organization to persist and adapt. Concentration risk—where one stakeholder’s share rises toward 100%—approaches the frontier from above. Fragmentation risk—where many stakeholders have small non-actionable shares—approaches the frontier from below. Both cross the frontier into failure regimes.</w:t>
      </w:r>
    </w:p>
    <w:p>
      <w:pPr>
        <w:spacing w:after="180" w:line="276"/>
      </w:pPr>
      <w:r>
        <w:rPr>
          <w:rFonts w:ascii="Times New Roman" w:cs="Times New Roman" w:eastAsia="Times New Roman" w:hAnsi="Times New Roman"/>
          <w:color w:val="333333"/>
          <w:sz w:val="22"/>
          <w:szCs w:val="22"/>
        </w:rPr>
        <w:t xml:space="preserve">The scale changes, but the structure does not. Every nested system has a frontier, and the Adaptive Scope principle allows HUF monitoring to apply at any scale by simply choosing the appropriate bandwidth. A researcher studying cell biology can use the same ratio-based analysis tools that a governance analyst uses for organizations, because the underlying mathematics is domain-agnostic.</w:t>
      </w:r>
    </w:p>
    <w:p>
      <w:pPr>
        <w:spacing w:after="160" w:before="80"/>
      </w:pPr>
      <w:r>
        <w:rPr>
          <w:rFonts w:ascii="Times New Roman" w:cs="Times New Roman" w:eastAsia="Times New Roman" w:hAnsi="Times New Roman"/>
          <w:i/>
          <w:iCs/>
          <w:color w:val="2E75B6"/>
          <w:sz w:val="20"/>
          <w:szCs w:val="20"/>
        </w:rPr>
        <w:t xml:space="preserve">▶ Dynamic monitoring: Pillar 2, Sections 11–12 (OCC Drift and Gating)</w:t>
      </w:r>
    </w:p>
    <w:p>
      <w:pPr>
        <w:spacing w:after="160" w:before="80"/>
      </w:pPr>
      <w:r>
        <w:rPr>
          <w:rFonts w:ascii="Times New Roman" w:cs="Times New Roman" w:eastAsia="Times New Roman" w:hAnsi="Times New Roman"/>
          <w:i/>
          <w:iCs/>
          <w:color w:val="2E75B6"/>
          <w:sz w:val="20"/>
          <w:szCs w:val="20"/>
        </w:rPr>
        <w:t xml:space="preserve">▶ Nested systems in detail: Vol 3, Mathematical Foundations</w:t>
      </w:r>
    </w:p>
    <w:p>
      <w:pPr>
        <w:spacing w:after="160" w:before="80"/>
      </w:pPr>
      <w:r>
        <w:rPr>
          <w:rFonts w:ascii="Times New Roman" w:cs="Times New Roman" w:eastAsia="Times New Roman" w:hAnsi="Times New Roman"/>
          <w:i/>
          <w:iCs/>
          <w:color w:val="2E75B6"/>
          <w:sz w:val="20"/>
          <w:szCs w:val="20"/>
        </w:rPr>
        <w:t xml:space="preserve">▶ Scale applications: Vol 1–4, Domain-Specific Volumes</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HUF-Org: The Sufficiency Frontier as Metabolic Boundary</w:t>
      </w:r>
    </w:p>
    <w:p>
      <w:pPr>
        <w:pStyle w:val="Heading2"/>
        <w:spacing w:after="160" w:before="280"/>
      </w:pPr>
      <w:r>
        <w:rPr>
          <w:rFonts w:ascii="Times New Roman" w:cs="Times New Roman" w:eastAsia="Times New Roman" w:hAnsi="Times New Roman"/>
          <w:b/>
          <w:bCs/>
          <w:color w:val="1F3864"/>
          <w:sz w:val="24"/>
          <w:szCs w:val="24"/>
        </w:rPr>
        <w:t xml:space="preserve">11.1 The Organism Model</w:t>
      </w:r>
    </w:p>
    <w:p>
      <w:pPr>
        <w:spacing w:after="180" w:line="276"/>
      </w:pPr>
      <w:r>
        <w:rPr>
          <w:rFonts w:ascii="Times New Roman" w:cs="Times New Roman" w:eastAsia="Times New Roman" w:hAnsi="Times New Roman"/>
          <w:color w:val="333333"/>
          <w:sz w:val="22"/>
          <w:szCs w:val="22"/>
        </w:rPr>
        <w:t xml:space="preserve">HUF is not merely a framework; it IS an organism. Like any living system, it has a metabolic energy budget, structural constraints, growth dynamics, and immune defenses. The Sufficiency Frontier represents HUF-org's metabolic boundary—the outer membrane across which resources flow in and out.</w:t>
      </w:r>
    </w:p>
    <w:p>
      <w:pPr>
        <w:spacing w:after="180" w:line="276"/>
      </w:pPr>
      <w:r>
        <w:rPr>
          <w:rFonts w:ascii="Times New Roman" w:cs="Times New Roman" w:eastAsia="Times New Roman" w:hAnsi="Times New Roman"/>
          <w:color w:val="333333"/>
          <w:sz w:val="22"/>
          <w:szCs w:val="22"/>
        </w:rPr>
        <w:t xml:space="preserve">At the core of HUF-org is the conservation law: Σ ρᵢ = 1.0. This is not a target. It is not aspirational. It is metabolic homeostasis. Just as a living cell maintains osmotic balance not by trying, but by the physics of semipermeable membranes, HUF maintains unity not by optimization, but by the structure of the simplex. The sum constraint is a conservation law—a fundamental property of the system, like energy conservation in thermodynamics.</w:t>
      </w:r>
    </w:p>
    <w:p>
      <w:pPr>
        <w:spacing w:after="180" w:line="276"/>
      </w:pPr>
      <w:r>
        <w:rPr>
          <w:rFonts w:ascii="Times New Roman" w:cs="Times New Roman" w:eastAsia="Times New Roman" w:hAnsi="Times New Roman"/>
          <w:color w:val="333333"/>
          <w:sz w:val="22"/>
          <w:szCs w:val="22"/>
        </w:rPr>
        <w:t xml:space="preserve">HUF-org has:</w:t>
      </w:r>
    </w:p>
    <w:p>
      <w:pPr>
        <w:spacing w:after="180" w:line="276"/>
      </w:pPr>
      <w:r>
        <w:rPr>
          <w:rFonts w:ascii="Times New Roman" w:cs="Times New Roman" w:eastAsia="Times New Roman" w:hAnsi="Times New Roman"/>
          <w:color w:val="333333"/>
          <w:sz w:val="22"/>
          <w:szCs w:val="22"/>
        </w:rPr>
        <w:t xml:space="preserve">— Conservative energy budget: Σ = 1.0 is to HUF-org what osmotic balance is to cells. It is preserved, not pursued.</w:t>
      </w:r>
    </w:p>
    <w:p>
      <w:pPr>
        <w:spacing w:after="180" w:line="276"/>
      </w:pPr>
      <w:r>
        <w:rPr>
          <w:rFonts w:ascii="Times New Roman" w:cs="Times New Roman" w:eastAsia="Times New Roman" w:hAnsi="Times New Roman"/>
          <w:color w:val="333333"/>
          <w:sz w:val="22"/>
          <w:szCs w:val="22"/>
        </w:rPr>
        <w:t xml:space="preserve">— Dynamic but constrained growth: The organism can expand and integrate new capabilities, but only iteratively, one element at a time, with portfolio rebalancing at each step.</w:t>
      </w:r>
    </w:p>
    <w:p>
      <w:pPr>
        <w:spacing w:after="180" w:line="276"/>
      </w:pPr>
      <w:r>
        <w:rPr>
          <w:rFonts w:ascii="Times New Roman" w:cs="Times New Roman" w:eastAsia="Times New Roman" w:hAnsi="Times New Roman"/>
          <w:color w:val="333333"/>
          <w:sz w:val="22"/>
          <w:szCs w:val="22"/>
        </w:rPr>
        <w:t xml:space="preserve">— Slowest member governs stability: Rate of integration is limited by the most Q-sensitive (highest bandwidth, sharpest resonance) element. High-Q members are the fragile ones; they set the speed limit.</w:t>
      </w:r>
    </w:p>
    <w:p>
      <w:pPr>
        <w:spacing w:after="180" w:line="276"/>
      </w:pPr>
      <w:r>
        <w:rPr>
          <w:rFonts w:ascii="Times New Roman" w:cs="Times New Roman" w:eastAsia="Times New Roman" w:hAnsi="Times New Roman"/>
          <w:color w:val="333333"/>
          <w:sz w:val="22"/>
          <w:szCs w:val="22"/>
        </w:rPr>
        <w:t xml:space="preserve">— Immune system: MC-4 IS the immune system. It detects foreign perturbations (drift), rejects incompatible integrations (Q-sensitivity exceeded), and signals when the organism is under stress.</w:t>
      </w:r>
    </w:p>
    <w:p>
      <w:pPr>
        <w:pStyle w:val="Heading2"/>
        <w:spacing w:after="160" w:before="280"/>
      </w:pPr>
      <w:r>
        <w:rPr>
          <w:rFonts w:ascii="Times New Roman" w:cs="Times New Roman" w:eastAsia="Times New Roman" w:hAnsi="Times New Roman"/>
          <w:b/>
          <w:bCs/>
          <w:color w:val="1F3864"/>
          <w:sz w:val="24"/>
          <w:szCs w:val="24"/>
        </w:rPr>
        <w:t xml:space="preserve">11.2 What HUF-Org Is Not: Cancer</w:t>
      </w:r>
    </w:p>
    <w:p>
      <w:pPr>
        <w:spacing w:after="180" w:line="276"/>
      </w:pPr>
      <w:r>
        <w:rPr>
          <w:rFonts w:ascii="Times New Roman" w:cs="Times New Roman" w:eastAsia="Times New Roman" w:hAnsi="Times New Roman"/>
          <w:color w:val="333333"/>
          <w:sz w:val="22"/>
          <w:szCs w:val="22"/>
        </w:rPr>
        <w:t xml:space="preserve">Cancer is uncontrolled growth where one element's share rises without portfolio rebalancing. A tumor consumes an ever-larger fraction of body resources, competing with healthy cells, until the organism dies. Cancer is Deceptive Drift in biological form.</w:t>
      </w:r>
    </w:p>
    <w:p>
      <w:pPr>
        <w:spacing w:after="180" w:line="276"/>
      </w:pPr>
      <w:r>
        <w:rPr>
          <w:rFonts w:ascii="Times New Roman" w:cs="Times New Roman" w:eastAsia="Times New Roman" w:hAnsi="Times New Roman"/>
          <w:color w:val="333333"/>
          <w:sz w:val="22"/>
          <w:szCs w:val="22"/>
        </w:rPr>
        <w:t xml:space="preserve">The tumor's rising share is the death signal because it violates the unity constraint. In a finite-budget biological system, a cell type that grows from 1% to 30% to 90% of resources without reciprocal shrinkage of other cell types is parasitic. The tumor grows, but at the expense of survival. The body cannot afford that share ratio.</w:t>
      </w:r>
    </w:p>
    <w:p>
      <w:pPr>
        <w:spacing w:after="180" w:line="276"/>
      </w:pPr>
      <w:r>
        <w:rPr>
          <w:rFonts w:ascii="Times New Roman" w:cs="Times New Roman" w:eastAsia="Times New Roman" w:hAnsi="Times New Roman"/>
          <w:color w:val="333333"/>
          <w:sz w:val="22"/>
          <w:szCs w:val="22"/>
        </w:rPr>
        <w:t xml:space="preserve">HUF-org, with its tight unity constraint and continuous portfolio gating, is immune to this pathology. If any element's share were to rise without corresponding portfolio rebalancing, MC-4 would flag it immediately. The rise would either be approved (explicit reallocation decision), rejected (gating out or downsizing), or investigated (trace artifact, governance record).</w:t>
      </w:r>
    </w:p>
    <w:p>
      <w:pPr>
        <w:spacing w:after="180" w:line="276"/>
      </w:pPr>
      <w:r>
        <w:rPr>
          <w:rFonts w:ascii="Times New Roman" w:cs="Times New Roman" w:eastAsia="Times New Roman" w:hAnsi="Times New Roman"/>
          <w:color w:val="333333"/>
          <w:sz w:val="22"/>
          <w:szCs w:val="22"/>
        </w:rPr>
        <w:t xml:space="preserve">Cancer is what happens when monitoring fails. HUF-org's immune system ensures that monitoring cannot fail.</w:t>
      </w:r>
    </w:p>
    <w:p>
      <w:pPr>
        <w:pStyle w:val="Heading2"/>
        <w:spacing w:after="160" w:before="280"/>
      </w:pPr>
      <w:r>
        <w:rPr>
          <w:rFonts w:ascii="Times New Roman" w:cs="Times New Roman" w:eastAsia="Times New Roman" w:hAnsi="Times New Roman"/>
          <w:b/>
          <w:bCs/>
          <w:color w:val="1F3864"/>
          <w:sz w:val="24"/>
          <w:szCs w:val="24"/>
        </w:rPr>
        <w:t xml:space="preserve">11.3 Iterative Integration and Q-Sensitivity</w:t>
      </w:r>
    </w:p>
    <w:p>
      <w:pPr>
        <w:spacing w:after="180" w:line="276"/>
      </w:pPr>
      <w:r>
        <w:rPr>
          <w:rFonts w:ascii="Times New Roman" w:cs="Times New Roman" w:eastAsia="Times New Roman" w:hAnsi="Times New Roman"/>
          <w:color w:val="333333"/>
          <w:sz w:val="22"/>
          <w:szCs w:val="22"/>
        </w:rPr>
        <w:t xml:space="preserve">When HUF-org grows—adding a new capability, integrating a new data source, extending to a new domain—the new element cannot simply be added to the portfolio at arbitrary share. The organism must test compatibility.</w:t>
      </w:r>
    </w:p>
    <w:p>
      <w:pPr>
        <w:spacing w:after="180" w:line="276"/>
      </w:pPr>
      <w:r>
        <w:rPr>
          <w:rFonts w:ascii="Times New Roman" w:cs="Times New Roman" w:eastAsia="Times New Roman" w:hAnsi="Times New Roman"/>
          <w:color w:val="333333"/>
          <w:sz w:val="22"/>
          <w:szCs w:val="22"/>
        </w:rPr>
        <w:t xml:space="preserve">The integration process is iterative:</w:t>
      </w:r>
    </w:p>
    <w:p>
      <w:pPr>
        <w:spacing w:after="180" w:line="276"/>
      </w:pPr>
      <w:r>
        <w:rPr>
          <w:rFonts w:ascii="Times New Roman" w:cs="Times New Roman" w:eastAsia="Times New Roman" w:hAnsi="Times New Roman"/>
          <w:color w:val="333333"/>
          <w:sz w:val="22"/>
          <w:szCs w:val="22"/>
        </w:rPr>
        <w:t xml:space="preserve">— Propose: A new element is proposed with an initial small share, say 5% of the nominal portfolio.</w:t>
      </w:r>
    </w:p>
    <w:p>
      <w:pPr>
        <w:spacing w:after="180" w:line="276"/>
      </w:pPr>
      <w:r>
        <w:rPr>
          <w:rFonts w:ascii="Times New Roman" w:cs="Times New Roman" w:eastAsia="Times New Roman" w:hAnsi="Times New Roman"/>
          <w:color w:val="333333"/>
          <w:sz w:val="22"/>
          <w:szCs w:val="22"/>
        </w:rPr>
        <w:t xml:space="preserve">— Test: Before activating, run the Viability Test (§11.4) on the proposed share.</w:t>
      </w:r>
    </w:p>
    <w:p>
      <w:pPr>
        <w:spacing w:after="180" w:line="276"/>
      </w:pPr>
      <w:r>
        <w:rPr>
          <w:rFonts w:ascii="Times New Roman" w:cs="Times New Roman" w:eastAsia="Times New Roman" w:hAnsi="Times New Roman"/>
          <w:color w:val="333333"/>
          <w:sz w:val="22"/>
          <w:szCs w:val="22"/>
        </w:rPr>
        <w:t xml:space="preserve">— Integrate: If the test passes, add the element to the active portfolio. All existing elements rebalance slightly to maintain unity.</w:t>
      </w:r>
    </w:p>
    <w:p>
      <w:pPr>
        <w:spacing w:after="180" w:line="276"/>
      </w:pPr>
      <w:r>
        <w:rPr>
          <w:rFonts w:ascii="Times New Roman" w:cs="Times New Roman" w:eastAsia="Times New Roman" w:hAnsi="Times New Roman"/>
          <w:color w:val="333333"/>
          <w:sz w:val="22"/>
          <w:szCs w:val="22"/>
        </w:rPr>
        <w:t xml:space="preserve">— Monitor: Watch the new element for one to three cycles. Does it stay stable? Does any existing element ring beyond its Q-sensitivity threshold?</w:t>
      </w:r>
    </w:p>
    <w:p>
      <w:pPr>
        <w:spacing w:after="180" w:line="276"/>
      </w:pPr>
      <w:r>
        <w:rPr>
          <w:rFonts w:ascii="Times New Roman" w:cs="Times New Roman" w:eastAsia="Times New Roman" w:hAnsi="Times New Roman"/>
          <w:color w:val="333333"/>
          <w:sz w:val="22"/>
          <w:szCs w:val="22"/>
        </w:rPr>
        <w:t xml:space="preserve">— Expand (if safe) or Gate Out (if stressed): If stable, slowly increase the new element's share in subsequent cycles. If any element exceeds Q tolerance, gate the new element out or narrow its scope.</w:t>
      </w:r>
    </w:p>
    <w:p>
      <w:pPr>
        <w:spacing w:after="180" w:line="276"/>
      </w:pPr>
      <w:r>
        <w:rPr>
          <w:rFonts w:ascii="Times New Roman" w:cs="Times New Roman" w:eastAsia="Times New Roman" w:hAnsi="Times New Roman"/>
          <w:color w:val="333333"/>
          <w:sz w:val="22"/>
          <w:szCs w:val="22"/>
        </w:rPr>
        <w:t xml:space="preserve">The key principle: Rate of integration is limited by the slowest/most Q-sensitive member. High-Q elements have sharp resonance and narrow bandwidth. They respond sharply to perturbation. Adding a new element when a high-Q member is already near its tolerance margin will push it into instability. The integration rate must respect the Q factors of all existing members.</w:t>
      </w:r>
    </w:p>
    <w:p>
      <w:pPr>
        <w:spacing w:after="180" w:line="276"/>
      </w:pPr>
      <w:r>
        <w:rPr>
          <w:rFonts w:ascii="Times New Roman" w:cs="Times New Roman" w:eastAsia="Times New Roman" w:hAnsi="Times New Roman"/>
          <w:color w:val="333333"/>
          <w:sz w:val="22"/>
          <w:szCs w:val="22"/>
        </w:rPr>
        <w:t xml:space="preserve">This is analogous to introducing a new species into an ecosystem. You cannot dump a million rabbits into a forest overnight. The predators, the vegetation, the disease vectors all have response times. Integration must proceed at a pace that allows the ecosystem to adapt without collapse.</w:t>
      </w:r>
    </w:p>
    <w:p>
      <w:pPr>
        <w:pStyle w:val="Heading2"/>
        <w:spacing w:after="160" w:before="280"/>
      </w:pPr>
      <w:r>
        <w:rPr>
          <w:rFonts w:ascii="Times New Roman" w:cs="Times New Roman" w:eastAsia="Times New Roman" w:hAnsi="Times New Roman"/>
          <w:b/>
          <w:bCs/>
          <w:color w:val="1F3864"/>
          <w:sz w:val="24"/>
          <w:szCs w:val="24"/>
        </w:rPr>
        <w:t xml:space="preserve">11.4 The Viability Test: Monte Carlo Perturbation</w:t>
      </w:r>
    </w:p>
    <w:p>
      <w:pPr>
        <w:spacing w:after="180" w:line="276"/>
      </w:pPr>
      <w:r>
        <w:rPr>
          <w:rFonts w:ascii="Times New Roman" w:cs="Times New Roman" w:eastAsia="Times New Roman" w:hAnsi="Times New Roman"/>
          <w:color w:val="333333"/>
          <w:sz w:val="22"/>
          <w:szCs w:val="22"/>
        </w:rPr>
        <w:t xml:space="preserve">Before any new element is added to the active portfolio, MC-4 runs a perturbation test. The test is a thought experiment:</w:t>
      </w:r>
    </w:p>
    <w:p>
      <w:pPr>
        <w:spacing w:after="180" w:line="276"/>
      </w:pPr>
      <w:r>
        <w:rPr>
          <w:rFonts w:ascii="Times New Roman" w:cs="Times New Roman" w:eastAsia="Times New Roman" w:hAnsi="Times New Roman"/>
          <w:color w:val="333333"/>
          <w:sz w:val="22"/>
          <w:szCs w:val="22"/>
        </w:rPr>
        <w:t xml:space="preserve">— Freeze the current portfolio and its Q factors.</w:t>
      </w:r>
    </w:p>
    <w:p>
      <w:pPr>
        <w:spacing w:after="180" w:line="276"/>
      </w:pPr>
      <w:r>
        <w:rPr>
          <w:rFonts w:ascii="Times New Roman" w:cs="Times New Roman" w:eastAsia="Times New Roman" w:hAnsi="Times New Roman"/>
          <w:color w:val="333333"/>
          <w:sz w:val="22"/>
          <w:szCs w:val="22"/>
        </w:rPr>
        <w:t xml:space="preserve">— Introduce the proposed new element with its initial share.</w:t>
      </w:r>
    </w:p>
    <w:p>
      <w:pPr>
        <w:spacing w:after="180" w:line="276"/>
      </w:pPr>
      <w:r>
        <w:rPr>
          <w:rFonts w:ascii="Times New Roman" w:cs="Times New Roman" w:eastAsia="Times New Roman" w:hAnsi="Times New Roman"/>
          <w:color w:val="333333"/>
          <w:sz w:val="22"/>
          <w:szCs w:val="22"/>
        </w:rPr>
        <w:t xml:space="preserve">— Perturb the new element's share across a range (±1σ, ±2σ, ±3σ around the proposed nominal).</w:t>
      </w:r>
    </w:p>
    <w:p>
      <w:pPr>
        <w:spacing w:after="180" w:line="276"/>
      </w:pPr>
      <w:r>
        <w:rPr>
          <w:rFonts w:ascii="Times New Roman" w:cs="Times New Roman" w:eastAsia="Times New Roman" w:hAnsi="Times New Roman"/>
          <w:color w:val="333333"/>
          <w:sz w:val="22"/>
          <w:szCs w:val="22"/>
        </w:rPr>
        <w:t xml:space="preserve">— At each perturbation level, compute the OCC ratios and all other element responses.</w:t>
      </w:r>
    </w:p>
    <w:p>
      <w:pPr>
        <w:spacing w:after="180" w:line="276"/>
      </w:pPr>
      <w:r>
        <w:rPr>
          <w:rFonts w:ascii="Times New Roman" w:cs="Times New Roman" w:eastAsia="Times New Roman" w:hAnsi="Times New Roman"/>
          <w:color w:val="333333"/>
          <w:sz w:val="22"/>
          <w:szCs w:val="22"/>
        </w:rPr>
        <w:t xml:space="preserve">— Check: Do any existing elements' OCC ratios exceed their Q-sensitivity thresholds?</w:t>
      </w:r>
    </w:p>
    <w:p>
      <w:pPr>
        <w:spacing w:after="180" w:line="276"/>
      </w:pPr>
      <w:r>
        <w:rPr>
          <w:rFonts w:ascii="Times New Roman" w:cs="Times New Roman" w:eastAsia="Times New Roman" w:hAnsi="Times New Roman"/>
          <w:color w:val="333333"/>
          <w:sz w:val="22"/>
          <w:szCs w:val="22"/>
        </w:rPr>
        <w:t xml:space="preserve">If all elements pass at all perturbation levels within ±3σ, the new element is safe to integrate. If any element exceeds its tolerance at any perturbation level, the integration is not safe at the proposed share. Options:</w:t>
      </w:r>
    </w:p>
    <w:p>
      <w:pPr>
        <w:spacing w:after="180" w:line="276"/>
      </w:pPr>
      <w:r>
        <w:rPr>
          <w:rFonts w:ascii="Times New Roman" w:cs="Times New Roman" w:eastAsia="Times New Roman" w:hAnsi="Times New Roman"/>
          <w:color w:val="333333"/>
          <w:sz w:val="22"/>
          <w:szCs w:val="22"/>
        </w:rPr>
        <w:t xml:space="preserve">— Reduce the proposed share of the new element.</w:t>
      </w:r>
    </w:p>
    <w:p>
      <w:pPr>
        <w:spacing w:after="180" w:line="276"/>
      </w:pPr>
      <w:r>
        <w:rPr>
          <w:rFonts w:ascii="Times New Roman" w:cs="Times New Roman" w:eastAsia="Times New Roman" w:hAnsi="Times New Roman"/>
          <w:color w:val="333333"/>
          <w:sz w:val="22"/>
          <w:szCs w:val="22"/>
        </w:rPr>
        <w:t xml:space="preserve">— Slow the integration rate (add smaller amounts across more cycles).</w:t>
      </w:r>
    </w:p>
    <w:p>
      <w:pPr>
        <w:spacing w:after="180" w:line="276"/>
      </w:pPr>
      <w:r>
        <w:rPr>
          <w:rFonts w:ascii="Times New Roman" w:cs="Times New Roman" w:eastAsia="Times New Roman" w:hAnsi="Times New Roman"/>
          <w:color w:val="333333"/>
          <w:sz w:val="22"/>
          <w:szCs w:val="22"/>
        </w:rPr>
        <w:t xml:space="preserve">— Narrow the scope of the new element (exclude or gate out the Q-sensitive member that is in conflict).</w:t>
      </w:r>
    </w:p>
    <w:p>
      <w:pPr>
        <w:spacing w:after="180" w:line="276"/>
      </w:pPr>
      <w:r>
        <w:rPr>
          <w:rFonts w:ascii="Times New Roman" w:cs="Times New Roman" w:eastAsia="Times New Roman" w:hAnsi="Times New Roman"/>
          <w:color w:val="333333"/>
          <w:sz w:val="22"/>
          <w:szCs w:val="22"/>
        </w:rPr>
        <w:t xml:space="preserve">— Conclude that the new element is fundamentally incompatible with the current organism at the current scope and reject it.</w:t>
      </w:r>
    </w:p>
    <w:p>
      <w:pPr>
        <w:spacing w:after="180" w:line="276"/>
      </w:pPr>
      <w:r>
        <w:rPr>
          <w:rFonts w:ascii="Times New Roman" w:cs="Times New Roman" w:eastAsia="Times New Roman" w:hAnsi="Times New Roman"/>
          <w:color w:val="333333"/>
          <w:sz w:val="22"/>
          <w:szCs w:val="22"/>
        </w:rPr>
        <w:t xml:space="preserve">The Viability Test is a safety check enforced by the immune system. It prevents the organism from attempting to grow in ways that violate the stability margins of its members. This is how HUF-org avoids cancer.</w:t>
      </w:r>
    </w:p>
    <w:p>
      <w:pPr>
        <w:pStyle w:val="Heading2"/>
        <w:spacing w:after="160" w:before="280"/>
      </w:pPr>
      <w:r>
        <w:rPr>
          <w:rFonts w:ascii="Times New Roman" w:cs="Times New Roman" w:eastAsia="Times New Roman" w:hAnsi="Times New Roman"/>
          <w:b/>
          <w:bCs/>
          <w:color w:val="1F3864"/>
          <w:sz w:val="24"/>
          <w:szCs w:val="24"/>
        </w:rPr>
        <w:t xml:space="preserve">11.5 Machine Learning as HUF-Org: The Billion-Run Validation</w:t>
      </w:r>
    </w:p>
    <w:p>
      <w:pPr>
        <w:spacing w:after="180" w:line="276"/>
      </w:pPr>
      <w:r>
        <w:rPr>
          <w:rFonts w:ascii="Times New Roman" w:cs="Times New Roman" w:eastAsia="Times New Roman" w:hAnsi="Times New Roman"/>
          <w:color w:val="333333"/>
          <w:sz w:val="22"/>
          <w:szCs w:val="22"/>
        </w:rPr>
        <w:t xml:space="preserve">The Sufficiency Frontier has a direct expression in Machine Learning: the model's capacity boundary. A neural network can represent functions up to a certain complexity—this is its Sufficiency Frontier. Beyond that frontier, the model cannot maintain coherence between training and validation. The frontier is not a gradual degradation; it is a cliff (exactly as in HUF). Overfitting onset is sudden, not gradual. The training loss curve of every model ever trained is a HUF-org growth curve, with complete telemetry. This section establishes ML as a major validation domain for HUF structural principles, providing billions of empirical experiments with recorded metrics.</w:t>
      </w:r>
    </w:p>
    <w:p>
      <w:pPr>
        <w:spacing w:after="180" w:line="276"/>
      </w:pPr>
      <w:r>
        <w:rPr>
          <w:rFonts w:ascii="Times New Roman" w:cs="Times New Roman" w:eastAsia="Times New Roman" w:hAnsi="Times New Roman"/>
          <w:color w:val="333333"/>
          <w:sz w:val="22"/>
          <w:szCs w:val="22"/>
        </w:rPr>
        <w:t xml:space="preserve">The logistic training curve </w:t>
      </w:r>
    </w:p>
    <w:p>
      <w:pPr>
        <w:spacing w:after="180" w:line="276"/>
      </w:pPr>
      <w:r>
        <w:rPr>
          <w:rFonts w:ascii="Times New Roman" w:cs="Times New Roman" w:eastAsia="Times New Roman" w:hAnsi="Times New Roman"/>
          <w:color w:val="333333"/>
          <w:sz w:val="22"/>
          <w:szCs w:val="22"/>
        </w:rPr>
        <w:t xml:space="preserve">The weight space of neural networks is a ratio portfolio. In classification networks, the softmax output layer </w:t>
      </w:r>
    </w:p>
    <w:p>
      <w:pPr>
        <w:spacing w:after="180" w:line="276"/>
      </w:pPr>
      <w:r>
        <w:rPr>
          <w:rFonts w:ascii="Times New Roman" w:cs="Times New Roman" w:eastAsia="Times New Roman" w:hAnsi="Times New Roman"/>
          <w:color w:val="333333"/>
          <w:sz w:val="22"/>
          <w:szCs w:val="22"/>
        </w:rPr>
        <w:t xml:space="preserve">Regularization mechanisms (L1, L2, dropout, weight decay) are the Sufficiency Frontier's enforcement tools—they prevent the portfolio from drifting beyond the frontier into the pathological region (overfitting). L2 weight decay monitors the magnitude of each weight (portfolio element) and penalizes growth that exceeds the declared distribution—this IS ratio drift detection. L1 sparsity forces elements to zero when their contribution drops below threshold—this IS dynamic portfolio gating. Dropout randomly removes elements during training, forcing the remaining portfolio to maintain coherence without them—this IS the adaptive scope bandwidth narrowing. Each mechanism exactly mirrors HUF's immune system (MC-4) in a different domain.</w:t>
      </w:r>
    </w:p>
    <w:p>
      <w:pPr>
        <w:spacing w:after="180" w:line="276"/>
      </w:pPr>
      <w:r>
        <w:rPr>
          <w:rFonts w:ascii="Times New Roman" w:cs="Times New Roman" w:eastAsia="Times New Roman" w:hAnsi="Times New Roman"/>
          <w:color w:val="333333"/>
          <w:sz w:val="22"/>
          <w:szCs w:val="22"/>
        </w:rPr>
        <w:t xml:space="preserve">Learning rate as Q-sensitivity: The learning rate governs how aggressively weights are updated. A weight with high gradient curvature (sharp loss landscape = high Q) requires a lower learning rate to avoid oscillation. Adaptive optimizers (Adam, AdaGrad) automatically adjust per-parameter learning rates—they ARE Q-sensitivity monitoring per portfolio element. Each weight gets its own Q-governed integration rate. The optimizer prevents high-Q elements from ringing into instability exactly as HUF's integration rate protocol does.</w:t>
      </w:r>
    </w:p>
    <w:p>
      <w:pPr>
        <w:spacing w:after="180" w:line="276"/>
      </w:pPr>
      <w:r>
        <w:rPr>
          <w:rFonts w:ascii="Times New Roman" w:cs="Times New Roman" w:eastAsia="Times New Roman" w:hAnsi="Times New Roman"/>
          <w:color w:val="333333"/>
          <w:sz w:val="22"/>
          <w:szCs w:val="22"/>
        </w:rPr>
        <w:t xml:space="preserve">The extraordinary validation opportunity: every model training run in history has recorded its loss curve, learning rate schedule, and validation metrics. This is billions of HUF-org experiments with complete telemetry across billions of parameters. The Sufficiency Frontier can be empirically located in any trained model by finding the epoch where validation loss diverges from training loss—that IS the frontier crossing. When the training loss continues downward but validation loss rises, the model has crossed the Sufficiency Frontier into the pathological region. No other validation framework has access to this volume of empirical data. ML provides HUF with direct observational confirmation at unprecedented scale.</w:t>
      </w:r>
    </w:p>
    <w:p>
      <w:pPr>
        <w:spacing w:after="180" w:line="276"/>
      </w:pPr>
      <w:r>
        <w:rPr>
          <w:rFonts w:ascii="Times New Roman" w:cs="Times New Roman" w:eastAsia="Times New Roman" w:hAnsi="Times New Roman"/>
          <w:color w:val="333333"/>
          <w:sz w:val="22"/>
          <w:szCs w:val="22"/>
        </w:rPr>
        <w:t xml:space="preserve">The structural identity is complete:</w:t>
      </w:r>
    </w:p>
    <w:p>
      <w:pPr>
        <w:spacing w:after="180" w:line="276"/>
      </w:pPr>
      <w:r>
        <w:rPr>
          <w:rFonts w:ascii="Times New Roman" w:cs="Times New Roman" w:eastAsia="Times New Roman" w:hAnsi="Times New Roman"/>
          <w:color w:val="333333"/>
          <w:sz w:val="22"/>
          <w:szCs w:val="22"/>
        </w:rPr>
        <w:t xml:space="preserve">— Learning rate = Q-sensitivity governed integration rate. Too high → oscillation (ringing). Slowest gradient sets speed limit.</w:t>
      </w:r>
    </w:p>
    <w:p>
      <w:pPr>
        <w:spacing w:after="180" w:line="276"/>
      </w:pPr>
      <w:r>
        <w:rPr>
          <w:rFonts w:ascii="Times New Roman" w:cs="Times New Roman" w:eastAsia="Times New Roman" w:hAnsi="Times New Roman"/>
          <w:color w:val="333333"/>
          <w:sz w:val="22"/>
          <w:szCs w:val="22"/>
        </w:rPr>
        <w:t xml:space="preserve">— Gradient descent = iterative integration. One batch at a time, full portfolio rebalances after each step.</w:t>
      </w:r>
    </w:p>
    <w:p>
      <w:pPr>
        <w:spacing w:after="180" w:line="276"/>
      </w:pPr>
      <w:r>
        <w:rPr>
          <w:rFonts w:ascii="Times New Roman" w:cs="Times New Roman" w:eastAsia="Times New Roman" w:hAnsi="Times New Roman"/>
          <w:color w:val="333333"/>
          <w:sz w:val="22"/>
          <w:szCs w:val="22"/>
        </w:rPr>
        <w:t xml:space="preserve">— Overfitting = Deceptive Drift / cancer. Training accuracy rises (looks like success) while validation drops (death signal). Rising share without rebalancing = pathological.</w:t>
      </w:r>
    </w:p>
    <w:p>
      <w:pPr>
        <w:spacing w:after="180" w:line="276"/>
      </w:pPr>
      <w:r>
        <w:rPr>
          <w:rFonts w:ascii="Times New Roman" w:cs="Times New Roman" w:eastAsia="Times New Roman" w:hAnsi="Times New Roman"/>
          <w:color w:val="333333"/>
          <w:sz w:val="22"/>
          <w:szCs w:val="22"/>
        </w:rPr>
        <w:t xml:space="preserve">— Regularization stack = immune system / MC-4. Detects pathological drift, gates out elements, penalizes unconstrained growth.</w:t>
      </w:r>
    </w:p>
    <w:p>
      <w:pPr>
        <w:spacing w:after="180" w:line="276"/>
      </w:pPr>
      <w:r>
        <w:rPr>
          <w:rFonts w:ascii="Times New Roman" w:cs="Times New Roman" w:eastAsia="Times New Roman" w:hAnsi="Times New Roman"/>
          <w:color w:val="333333"/>
          <w:sz w:val="22"/>
          <w:szCs w:val="22"/>
        </w:rPr>
        <w:t xml:space="preserve">— Learning rate schedule = decelerating organism. Start fast, slow as carrying capacity approaches. Cosine annealing, step decay = slowing as environment consumed.</w:t>
      </w:r>
    </w:p>
    <w:p>
      <w:pPr>
        <w:spacing w:after="180" w:line="276"/>
      </w:pPr>
      <w:r>
        <w:rPr>
          <w:rFonts w:ascii="Times New Roman" w:cs="Times New Roman" w:eastAsia="Times New Roman" w:hAnsi="Times New Roman"/>
          <w:color w:val="333333"/>
          <w:sz w:val="22"/>
          <w:szCs w:val="22"/>
        </w:rPr>
        <w:t xml:space="preserve">— Early stopping = viability test. Validation loss rising while training loss drops = MC-4 catching drift. Stop before cancer kills generalization.</w:t>
      </w:r>
    </w:p>
    <w:p>
      <w:pPr>
        <w:spacing w:after="180" w:line="276"/>
      </w:pPr>
      <w:r>
        <w:rPr>
          <w:rFonts w:ascii="Times New Roman" w:cs="Times New Roman" w:eastAsia="Times New Roman" w:hAnsi="Times New Roman"/>
          <w:color w:val="333333"/>
          <w:sz w:val="22"/>
          <w:szCs w:val="22"/>
        </w:rPr>
        <w:t xml:space="preserve">— Batch size = observation bandwidth / adaptive scope. Small batch = narrow BW, high resolution, high variance. Large batch = wide BW, low resolution, low variance.</w:t>
      </w:r>
    </w:p>
    <w:p>
      <w:pPr>
        <w:spacing w:after="180" w:line="276"/>
      </w:pPr>
      <w:r>
        <w:rPr>
          <w:rFonts w:ascii="Times New Roman" w:cs="Times New Roman" w:eastAsia="Times New Roman" w:hAnsi="Times New Roman"/>
          <w:color w:val="333333"/>
          <w:sz w:val="22"/>
          <w:szCs w:val="22"/>
        </w:rPr>
        <w:t xml:space="preserve">— Training loss curve = logistic sigmoid / HUF-org growth curve. Carrying capacity K = architecture constraint. Growth rate r = learning rate. Inflection = combinatorial cost exceeds margin.</w:t>
      </w:r>
    </w:p>
    <w:p>
      <w:pPr>
        <w:spacing w:after="180" w:line="276"/>
      </w:pPr>
      <w:r>
        <w:rPr>
          <w:rFonts w:ascii="Times New Roman" w:cs="Times New Roman" w:eastAsia="Times New Roman" w:hAnsi="Times New Roman"/>
          <w:color w:val="333333"/>
          <w:sz w:val="22"/>
          <w:szCs w:val="22"/>
        </w:rPr>
        <w:t xml:space="preserve">— Weight space = ratio portfolio under unity constraint. Softmax output layer literally enforces Σ=1.0.</w:t>
      </w:r>
    </w:p>
    <w:p>
      <w:pPr>
        <w:spacing w:after="160" w:before="80"/>
      </w:pPr>
      <w:r>
        <w:rPr>
          <w:rFonts w:ascii="Times New Roman" w:cs="Times New Roman" w:eastAsia="Times New Roman" w:hAnsi="Times New Roman"/>
          <w:i/>
          <w:iCs/>
          <w:color w:val="2E75B6"/>
          <w:sz w:val="20"/>
          <w:szCs w:val="20"/>
        </w:rPr>
        <w:t xml:space="preserve">▶ Adaptive Scope principle: Section 10 (Adaptive Scope)</w:t>
      </w:r>
    </w:p>
    <w:p>
      <w:pPr>
        <w:spacing w:after="160" w:before="80"/>
      </w:pPr>
      <w:r>
        <w:rPr>
          <w:rFonts w:ascii="Times New Roman" w:cs="Times New Roman" w:eastAsia="Times New Roman" w:hAnsi="Times New Roman"/>
          <w:i/>
          <w:iCs/>
          <w:color w:val="2E75B6"/>
          <w:sz w:val="20"/>
          <w:szCs w:val="20"/>
        </w:rPr>
        <w:t xml:space="preserve">▶ MC-4 immune system: Pillar 2, The Fourth Monitoring Category v2.5</w:t>
      </w:r>
    </w:p>
    <w:p>
      <w:pPr>
        <w:spacing w:after="160" w:before="80"/>
      </w:pPr>
      <w:r>
        <w:rPr>
          <w:rFonts w:ascii="Times New Roman" w:cs="Times New Roman" w:eastAsia="Times New Roman" w:hAnsi="Times New Roman"/>
          <w:i/>
          <w:iCs/>
          <w:color w:val="2E75B6"/>
          <w:sz w:val="20"/>
          <w:szCs w:val="20"/>
        </w:rPr>
        <w:t xml:space="preserve">▶ Mathematical foundations: Vol 3, Mathematical Foundations</w:t>
      </w:r>
    </w:p>
    <w:p>
      <w:pPr>
        <w:spacing w:after="160" w:before="80"/>
      </w:pPr>
      <w:r>
        <w:rPr>
          <w:rFonts w:ascii="Times New Roman" w:cs="Times New Roman" w:eastAsia="Times New Roman" w:hAnsi="Times New Roman"/>
          <w:i/>
          <w:iCs/>
          <w:color w:val="2E75B6"/>
          <w:sz w:val="20"/>
          <w:szCs w:val="20"/>
        </w:rPr>
        <w:t xml:space="preserve">▶ ML validation: Billions of empirical HUF-org experiments recorded in training telemetry</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Conclusion</w:t>
      </w:r>
    </w:p>
    <w:p>
      <w:pPr>
        <w:spacing w:after="180" w:line="276"/>
      </w:pPr>
      <w:r>
        <w:rPr>
          <w:rFonts w:ascii="Times New Roman" w:cs="Times New Roman" w:eastAsia="Times New Roman" w:hAnsi="Times New Roman"/>
          <w:color w:val="333333"/>
          <w:sz w:val="22"/>
          <w:szCs w:val="22"/>
        </w:rPr>
        <w:t xml:space="preserve">The sufficiency frontier marks a qualitative boundary in information reduction. Below it, data is compressed or filtered. Above it, data is reduced to exactly the statistics required for a specified inference. The HUF PreParser operates above this boundary at 6,357,738:1, extracting portfolio governance statistics from heterogeneous data across 10 domains without domain-specific calibration.</w:t>
      </w:r>
    </w:p>
    <w:p>
      <w:pPr>
        <w:spacing w:after="180" w:line="276"/>
      </w:pPr>
      <w:r>
        <w:rPr>
          <w:rFonts w:ascii="Times New Roman" w:cs="Times New Roman" w:eastAsia="Times New Roman" w:hAnsi="Times New Roman"/>
          <w:color w:val="333333"/>
          <w:sz w:val="22"/>
          <w:szCs w:val="22"/>
        </w:rPr>
        <w:t xml:space="preserve">The theoretical basis is the unity constraint: any system where shares sum to one lives on the probability simplex, and the simplex coordinates are sufficient for governance inference. The empirical basis is a 10-domain corpus spanning mechanical, biological, ecological, digital, astrophysical, acoustic, and institutional systems. The external validation—a Pettitt changepoint matching the exact operational day of ESA Planck’s He-4 exhaustion—provides evidence that the extracted statistics carry genuine physical information.</w:t>
      </w:r>
    </w:p>
    <w:p>
      <w:pPr>
        <w:spacing w:after="180" w:line="276"/>
      </w:pPr>
      <w:r>
        <w:rPr>
          <w:rFonts w:ascii="Times New Roman" w:cs="Times New Roman" w:eastAsia="Times New Roman" w:hAnsi="Times New Roman"/>
          <w:color w:val="333333"/>
          <w:sz w:val="22"/>
          <w:szCs w:val="22"/>
        </w:rPr>
        <w:t xml:space="preserve">The Adaptive Scope principle extends the sufficiency frontier analysis to operating systems. By matching the observation scope to the data actually present, using center frequency and bandwidth metaphors to guide scoping decisions, and implementing dynamic portfolio gating that adapts to data availability in real time, HUF can monitor nested systems at multiple scales without loss of mathematical rigor.</w:t>
      </w:r>
    </w:p>
    <w:p>
      <w:pPr>
        <w:spacing w:after="180" w:line="276"/>
      </w:pPr>
      <w:r>
        <w:rPr>
          <w:rFonts w:ascii="Times New Roman" w:cs="Times New Roman" w:eastAsia="Times New Roman" w:hAnsi="Times New Roman"/>
          <w:color w:val="333333"/>
          <w:sz w:val="22"/>
          <w:szCs w:val="22"/>
        </w:rPr>
        <w:t xml:space="preserve">HUF-org extends this framework by modeling HUF itself as a living system with metabolic constraints, iterative integration protocols, and immune-system-like drift detection. The unity constraint Σ ρᵢ = 1.0 is not a governance target but a conservation law. Growth proceeds iteratively, one element at a time, with viability testing before integration. The slowest (highest-Q) member governs the speed of adaptation. MC-4 serves as the immune system, detecting pathological drift (cancer) before it threatens organism survival.</w:t>
      </w:r>
    </w:p>
    <w:p>
      <w:pPr>
        <w:spacing w:after="180" w:line="276"/>
      </w:pPr>
      <w:r>
        <w:rPr>
          <w:rFonts w:ascii="Times New Roman" w:cs="Times New Roman" w:eastAsia="Times New Roman" w:hAnsi="Times New Roman"/>
          <w:color w:val="333333"/>
          <w:sz w:val="22"/>
          <w:szCs w:val="22"/>
        </w:rPr>
        <w:t xml:space="preserve">The sufficiency frontier is not a property of HUF; it is a property of the inference task. HUF demonstrates that the frontier exists and can be reached without domain-specific knowledge, provided the structural invariant (Σ ρᵢ = 1) holds. The car/fuel analogy illustrates that the frontier is an everyday reality obscured by our habit of thinking in absolute numbers rather than ratios. In any system where budget is conserved and allocation is proportional, the frontier exists, the ratio reveals it, and the adaptive scope framework allows it to be monitored at any scale. As HUF-org matures, the same principles that govern external systems come to govern HUF itself.</w:t>
      </w: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80" w:line="276"/>
      </w:pPr>
      <w:r>
        <w:rPr>
          <w:rFonts w:ascii="Times New Roman" w:cs="Times New Roman" w:eastAsia="Times New Roman" w:hAnsi="Times New Roman"/>
          <w:color w:val="333333"/>
          <w:sz w:val="22"/>
          <w:szCs w:val="22"/>
        </w:rPr>
        <w:t xml:space="preserve">[1] C.E. Shannon, "A mathematical theory of communication," Bell Syst. Tech. J., vol. 27, pp. 379–423, 1948.</w:t>
      </w:r>
    </w:p>
    <w:p>
      <w:pPr>
        <w:spacing w:after="180" w:line="276"/>
      </w:pPr>
      <w:r>
        <w:rPr>
          <w:rFonts w:ascii="Times New Roman" w:cs="Times New Roman" w:eastAsia="Times New Roman" w:hAnsi="Times New Roman"/>
          <w:color w:val="333333"/>
          <w:sz w:val="22"/>
          <w:szCs w:val="22"/>
        </w:rPr>
        <w:t xml:space="preserve">[2]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[3] J. Aitchison, "The statistical analysis of compositional data," J. R. Stat. Soc. B, vol. 44, pp. 139–177, 1982.</w:t>
      </w:r>
    </w:p>
    <w:p>
      <w:pPr>
        <w:spacing w:after="180" w:line="276"/>
      </w:pPr>
      <w:r>
        <w:rPr>
          <w:rFonts w:ascii="Times New Roman" w:cs="Times New Roman" w:eastAsia="Times New Roman" w:hAnsi="Times New Roman"/>
          <w:color w:val="333333"/>
          <w:sz w:val="22"/>
          <w:szCs w:val="22"/>
        </w:rPr>
        <w:t xml:space="preserve">[4] L. Boltzmann, "Weitere Studien über das Wärmegleichgewicht unter Gasmolekülen," Sitzungsberichte Akad. Wiss. Wien, vol. 66, pp. 275–370, 1872.</w:t>
      </w:r>
    </w:p>
    <w:p>
      <w:pPr>
        <w:spacing w:after="180" w:line="276"/>
      </w:pPr>
      <w:r>
        <w:rPr>
          <w:rFonts w:ascii="Times New Roman" w:cs="Times New Roman" w:eastAsia="Times New Roman" w:hAnsi="Times New Roman"/>
          <w:color w:val="333333"/>
          <w:sz w:val="22"/>
          <w:szCs w:val="22"/>
        </w:rPr>
        <w:t xml:space="preserve">[5] E.J.G. Pitman, "Sufficient statistics and intrinsic accuracy," Proc. Cambridge Phil. Soc., vol. 32, pp. 567–579, 1936.</w:t>
      </w:r>
    </w:p>
    <w:p>
      <w:pPr>
        <w:spacing w:after="180" w:line="276"/>
      </w:pPr>
      <w:r>
        <w:rPr>
          <w:rFonts w:ascii="Times New Roman" w:cs="Times New Roman" w:eastAsia="Times New Roman" w:hAnsi="Times New Roman"/>
          <w:color w:val="333333"/>
          <w:sz w:val="22"/>
          <w:szCs w:val="22"/>
        </w:rPr>
        <w:t xml:space="preserve">[6] B.O. Koopman, "On distributions admitting a sufficient statistic," Trans. Amer. Math. Soc., vol. 39, pp. 399–409, 1936.</w:t>
      </w:r>
    </w:p>
    <w:p>
      <w:pPr>
        <w:spacing w:after="180" w:line="276"/>
      </w:pPr>
      <w:r>
        <w:rPr>
          <w:rFonts w:ascii="Times New Roman" w:cs="Times New Roman" w:eastAsia="Times New Roman" w:hAnsi="Times New Roman"/>
          <w:color w:val="333333"/>
          <w:sz w:val="22"/>
          <w:szCs w:val="22"/>
        </w:rPr>
        <w:t xml:space="preserve">[7] J. Ziv and A. Lempel, "A universal algorithm for sequential data compression," IEEE Trans. Inf. Theory, vol. 23, pp. 337–343, 1977.</w:t>
      </w:r>
    </w:p>
    <w:p>
      <w:pPr>
        <w:spacing w:after="180" w:line="276"/>
      </w:pPr>
      <w:r>
        <w:rPr>
          <w:rFonts w:ascii="Times New Roman" w:cs="Times New Roman" w:eastAsia="Times New Roman" w:hAnsi="Times New Roman"/>
          <w:color w:val="333333"/>
          <w:sz w:val="22"/>
          <w:szCs w:val="22"/>
        </w:rPr>
        <w:t xml:space="preserve">[8] G.K. Wallace, "The JPEG still picture compression standard," IEEE Trans. Consum. Electron., vol. 38, pp. 18–34, 1992.</w:t>
      </w:r>
    </w:p>
    <w:p>
      <w:pPr>
        <w:spacing w:after="180" w:line="276"/>
      </w:pPr>
      <w:r>
        <w:rPr>
          <w:rFonts w:ascii="Times New Roman" w:cs="Times New Roman" w:eastAsia="Times New Roman" w:hAnsi="Times New Roman"/>
          <w:color w:val="333333"/>
          <w:sz w:val="22"/>
          <w:szCs w:val="22"/>
        </w:rPr>
        <w:t xml:space="preserve">[9] K. Brandenburg, "MP3 and AAC explained," in Proc. AES 17th Int. Conf., 1999.</w:t>
      </w:r>
    </w:p>
    <w:p>
      <w:pPr>
        <w:spacing w:after="180" w:line="276"/>
      </w:pPr>
      <w:r>
        <w:rPr>
          <w:rFonts w:ascii="Times New Roman" w:cs="Times New Roman" w:eastAsia="Times New Roman" w:hAnsi="Times New Roman"/>
          <w:color w:val="333333"/>
          <w:sz w:val="22"/>
          <w:szCs w:val="22"/>
        </w:rPr>
        <w:t xml:space="preserve">[10] G.J. Sullivan et al., "Overview of HEVC," IEEE Trans. Circuits Syst. Video Technol., vol. 22, pp. 1649–1668, 2012.</w:t>
      </w:r>
    </w:p>
    <w:p>
      <w:pPr>
        <w:spacing w:after="180" w:line="276"/>
      </w:pPr>
      <w:r>
        <w:rPr>
          <w:rFonts w:ascii="Times New Roman" w:cs="Times New Roman" w:eastAsia="Times New Roman" w:hAnsi="Times New Roman"/>
          <w:color w:val="333333"/>
          <w:sz w:val="22"/>
          <w:szCs w:val="22"/>
        </w:rPr>
        <w:t xml:space="preserve">[11]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[12]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[13]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[14]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[15] P. Higgins, "The Fourth Monitoring Category: Ratio State Monitoring," HUF Triad Pillar 2, v2.5, 2026.</w:t>
      </w:r>
    </w:p>
    <w:p>
      <w:pPr>
        <w:spacing w:after="180" w:line="276"/>
      </w:pPr>
      <w:r>
        <w:rPr>
          <w:rFonts w:ascii="Times New Roman" w:cs="Times New Roman" w:eastAsia="Times New Roman" w:hAnsi="Times New Roman"/>
          <w:color w:val="333333"/>
          <w:sz w:val="22"/>
          <w:szCs w:val="22"/>
        </w:rPr>
        <w:t xml:space="preserve">[16] P. Higgins, "The HUF Triad: Volume 8, Synthesis," v1.0, 2026.</w:t>
      </w:r>
    </w:p>
    <w:p>
      <w:pPr>
        <w:spacing w:after="180" w:line="276"/>
      </w:pPr>
      <w:r>
        <w:rPr>
          <w:rFonts w:ascii="Times New Roman" w:cs="Times New Roman" w:eastAsia="Times New Roman" w:hAnsi="Times New Roman"/>
          <w:color w:val="333333"/>
          <w:sz w:val="22"/>
          <w:szCs w:val="22"/>
        </w:rPr>
        <w:t xml:space="preserve">[17] J.L. Doob, "Statistical estimation," Trans. Amer. Math. Soc., vol. 39, pp. 410–421, 1936.</w:t>
      </w:r>
    </w:p>
    <w:p>
      <w:pPr>
        <w:spacing w:after="180" w:line="276"/>
      </w:pPr>
      <w:r>
        <w:rPr>
          <w:rFonts w:ascii="Times New Roman" w:cs="Times New Roman" w:eastAsia="Times New Roman" w:hAnsi="Times New Roman"/>
          <w:color w:val="333333"/>
          <w:sz w:val="22"/>
          <w:szCs w:val="22"/>
        </w:rPr>
        <w:t xml:space="preserve">[18] G. Darmois, "Sur les lois de probabilité à estimation exhaustive," C.R. Acad. Sci. Paris, vol. 200, pp. 1265–1266, 1935.</w:t>
      </w:r>
    </w:p>
    <w:p>
      <w:pPr>
        <w:spacing w:after="180" w:line="276"/>
      </w:pPr>
      <w:r>
        <w:rPr>
          <w:rFonts w:ascii="Times New Roman" w:cs="Times New Roman" w:eastAsia="Times New Roman" w:hAnsi="Times New Roman"/>
          <w:color w:val="333333"/>
          <w:sz w:val="22"/>
          <w:szCs w:val="22"/>
        </w:rPr>
        <w:t xml:space="preserve">[19] J. Rissanen, "Modeling by shortest data description," Automatica, vol. 14, pp. 465–471, 1978.</w:t>
      </w:r>
    </w:p>
    <w:p>
      <w:pPr>
        <w:spacing w:after="180" w:line="276"/>
      </w:pPr>
      <w:r>
        <w:rPr>
          <w:rFonts w:ascii="Times New Roman" w:cs="Times New Roman" w:eastAsia="Times New Roman" w:hAnsi="Times New Roman"/>
          <w:color w:val="333333"/>
          <w:sz w:val="22"/>
          <w:szCs w:val="22"/>
        </w:rPr>
        <w:t xml:space="preserve">[20]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[21] J.L. Fleiss, B. Levin, and M.C. Paik,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[22] J. Aitchison and J.A.C. Brown, The Lognormal Distribution. Cambridge University Press, 1957.</w:t>
      </w:r>
    </w:p>
    <w:p>
      <w:pPr>
        <w:spacing w:after="180" w:line="276"/>
      </w:pPr>
      <w:r>
        <w:rPr>
          <w:rFonts w:ascii="Times New Roman" w:cs="Times New Roman" w:eastAsia="Times New Roman" w:hAnsi="Times New Roman"/>
          <w:color w:val="333333"/>
          <w:sz w:val="22"/>
          <w:szCs w:val="22"/>
        </w:rPr>
        <w:t xml:space="preserve">[23] W.A. Shewhart, Economic Control of Quality of Manufactured Product. Van Nostrand, 1931.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1</w:t>
    </w:r>
    <w:r>
      <w:rPr>
        <w:rFonts w:ascii="Times New Roman" w:cs="Times New Roman" w:eastAsia="Times New Roman" w:hAnsi="Times New Roman"/>
        <w:i/>
        <w:iCs/>
        <w:color w:val="2E75B6"/>
        <w:sz w:val="18"/>
        <w:szCs w:val="18"/>
      </w:rPr>
      <w:t xml:space="preserve">	The Sufficiency Frontier v3.5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2026-03-09T20:38:41.134Z</dcterms:created>
  <dcterms:modified xsi:type="dcterms:W3CDTF">2026-03-09T20:38:41.135Z</dcterms:modified>
</cp:coreProperties>
</file>

<file path=docProps/custom.xml><?xml version="1.0" encoding="utf-8"?>
<Properties xmlns="http://schemas.openxmlformats.org/officeDocument/2006/custom-properties" xmlns:vt="http://schemas.openxmlformats.org/officeDocument/2006/docPropsVTypes"/>
</file>