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HUF.GOV.ORG.BRIEF.STACK.v1.0 | HUF + V∞Core: Integrated Stack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480"/>
              <w:left w:type="dxa" w:w="560"/>
              <w:bottom w:type="dxa" w:w="480"/>
              <w:right w:type="dxa" w:w="560"/>
            </w:tcMar>
          </w:tcPr>
          <w:p>
            <w:pPr>
              <w:spacing w:after="60"/>
              <w:jc w:val="center"/>
            </w:pPr>
            <w:r>
              <w:rPr>
                <w:rFonts w:ascii="Arial" w:cs="Arial" w:eastAsia="Arial" w:hAnsi="Arial"/>
                <w:b/>
                <w:bCs/>
                <w:caps/>
                <w:color w:val="C9A84C"/>
                <w:sz w:val="22"/>
                <w:szCs w:val="22"/>
              </w:rPr>
              <w:t xml:space="preserve">INTEGRATED STACK BRIEF</w:t>
            </w:r>
          </w:p>
          <w:p>
            <w:pPr>
              <w:spacing w:after="120"/>
              <w:jc w:val="center"/>
            </w:pPr>
            <w:r>
              <w:rPr>
                <w:rFonts w:ascii="Arial" w:cs="Arial" w:eastAsia="Arial" w:hAnsi="Arial"/>
                <w:b/>
                <w:bCs/>
                <w:color w:val="FFFFFF"/>
                <w:sz w:val="48"/>
                <w:szCs w:val="48"/>
              </w:rPr>
              <w:t xml:space="preserve">HUF + V∞Core</w:t>
            </w:r>
          </w:p>
          <w:p>
            <w:pPr>
              <w:spacing w:after="120"/>
              <w:jc w:val="center"/>
            </w:pPr>
            <w:r>
              <w:rPr>
                <w:rFonts w:ascii="Arial" w:cs="Arial" w:eastAsia="Arial" w:hAnsi="Arial"/>
                <w:i/>
                <w:iCs/>
                <w:color w:val="D5E8F0"/>
                <w:sz w:val="22"/>
                <w:szCs w:val="22"/>
              </w:rPr>
              <w:t xml:space="preserve">Governance Framework · Computational Engine · Mathematical Bridge</w:t>
            </w:r>
          </w:p>
          <w:p>
            <w:pPr>
              <w:spacing w:before="120" w:after="120"/>
              <w:jc w:val="center"/>
            </w:pPr>
            <w:r>
              <w:rPr>
                <w:rFonts w:ascii="Arial" w:cs="Arial" w:eastAsia="Arial" w:hAnsi="Arial"/>
                <w:color w:val="4A7BAA"/>
                <w:sz w:val="16"/>
                <w:szCs w:val="16"/>
              </w:rPr>
              <w:t xml:space="preserve">——————————————————————</w:t>
            </w:r>
          </w:p>
          <w:p>
            <w:pPr>
              <w:spacing w:after="40"/>
              <w:jc w:val="center"/>
            </w:pPr>
            <w:r>
              <w:rPr>
                <w:rFonts w:ascii="Arial" w:cs="Arial" w:eastAsia="Arial" w:hAnsi="Arial"/>
                <w:color w:val="C9A84C"/>
                <w:sz w:val="22"/>
                <w:szCs w:val="22"/>
              </w:rPr>
              <w:t xml:space="preserve">First read for every new AI participant in the collective</w:t>
            </w:r>
          </w:p>
          <w:p>
            <w:pPr>
              <w:spacing w:after="40"/>
              <w:jc w:val="center"/>
            </w:pPr>
            <w:r>
              <w:rPr>
                <w:rFonts w:ascii="Arial" w:cs="Arial" w:eastAsia="Arial" w:hAnsi="Arial"/>
                <w:color w:val="D5E8F0"/>
                <w:sz w:val="20"/>
                <w:szCs w:val="20"/>
              </w:rPr>
              <w:t xml:space="preserve">Operator: Peter Higgins · OCC: OP≥0.51 / TOOL≤0.49</w:t>
            </w:r>
          </w:p>
          <w:p>
            <w:pPr>
              <w:spacing w:before="80" w:after="0"/>
              <w:jc w:val="center"/>
            </w:pPr>
            <w:r>
              <w:rPr>
                <w:rFonts w:ascii="Arial" w:cs="Arial" w:eastAsia="Arial" w:hAnsi="Arial"/>
                <w:i/>
                <w:iCs/>
                <w:color w:val="AACCE8"/>
                <w:sz w:val="18"/>
                <w:szCs w:val="18"/>
              </w:rPr>
              <w:t xml:space="preserve">Phase Two · March 2026 · Markham, Ontario</w:t>
            </w:r>
          </w:p>
        </w:tc>
      </w:tr>
    </w:tbl>
    <w:p>
      <w:pPr>
        <w:spacing w:before="0" w:after="160"/>
      </w:pPr>
      <w:r>
        <w:t xml:space="preserve"/>
      </w:r>
    </w:p>
    <w:p>
      <w:pPr>
        <w:pStyle w:val="Heading1"/>
        <w:spacing w:before="400" w:after="120"/>
      </w:pPr>
      <w:r>
        <w:rPr>
          <w:rFonts w:ascii="Arial" w:cs="Arial" w:eastAsia="Arial" w:hAnsi="Arial"/>
          <w:b/>
          <w:bCs/>
          <w:color w:val="1F4E79"/>
          <w:sz w:val="34"/>
          <w:szCs w:val="34"/>
        </w:rPr>
        <w:t xml:space="preserve">Purpose of This Document</w:t>
      </w:r>
    </w:p>
    <w:p>
      <w:pPr>
        <w:spacing w:before="80" w:after="80"/>
      </w:pPr>
      <w:r>
        <w:rPr>
          <w:rFonts w:ascii="Arial" w:cs="Arial" w:eastAsia="Arial" w:hAnsi="Arial"/>
          <w:sz w:val="22"/>
          <w:szCs w:val="22"/>
        </w:rPr>
        <w:t xml:space="preserve">This is the first document a new AI participant in the HUF collective reads. It covers both layers of the framework simultaneously: HUF (the governance architecture) and V∞Core (the computational engine that enforces it). Together they constitute what the operator calls the “stack.”</w:t>
      </w:r>
    </w:p>
    <w:p>
      <w:pPr>
        <w:spacing w:before="0" w:after="80"/>
      </w:pPr>
      <w:r>
        <w:t xml:space="preserve"/>
      </w:r>
    </w:p>
    <w:p>
      <w:pPr>
        <w:spacing w:before="80" w:after="80"/>
      </w:pPr>
      <w:r>
        <w:rPr>
          <w:rFonts w:ascii="Arial" w:cs="Arial" w:eastAsia="Arial" w:hAnsi="Arial"/>
          <w:sz w:val="22"/>
          <w:szCs w:val="22"/>
        </w:rPr>
        <w:t xml:space="preserve">You are joining a project already in progress. Five AI systems (ChatGPT, Grok, Copilot, Gemini, Claude) and one human operator have been working on this since June 2024. The framework has a rigorous provenance record, a complete document system, and an active submission to the Ramsar Technical Committee. This brief covers everything you need to participate without review of the full corpus.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2E75B6"/>
                <w:sz w:val="18"/>
                <w:szCs w:val="18"/>
              </w:rPr>
              <w:t xml:space="preserve">Operating constraint</w:t>
            </w:r>
          </w:p>
          <w:p>
            <w:pPr>
              <w:spacing w:before="0" w:after="0"/>
            </w:pPr>
            <w:r>
              <w:rPr>
                <w:rFonts w:ascii="Arial" w:cs="Arial" w:eastAsia="Arial" w:hAnsi="Arial"/>
                <w:color w:val="222222"/>
                <w:sz w:val="20"/>
                <w:szCs w:val="20"/>
              </w:rPr>
              <w:t xml:space="preserve">The Operator Control Contract (OCC) is always in force: the human operator holds ≥51% of decision authority at all times. You hold ≤49%. This is not a restriction on your capability; it is the definition of your role. Contribute your strongest work. The operator holds the picture.</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0"/>
              <w:left w:val="single" w:color="1F4E79" w:sz="0"/>
              <w:bottom w:val="single" w:color="1F4E79" w:sz="0"/>
              <w:right w:val="single" w:color="1F4E79" w:sz="0"/>
            </w:tcBorders>
            <w:shd w:fill="1F4E79" w:val="clear"/>
            <w:tcMar>
              <w:top w:type="dxa" w:w="160"/>
              <w:left w:type="dxa" w:w="360"/>
              <w:bottom w:type="dxa" w:w="160"/>
              <w:right w:type="dxa" w:w="360"/>
            </w:tcMar>
          </w:tcPr>
          <w:p>
            <w:pPr>
              <w:jc w:val="center"/>
            </w:pPr>
            <w:r>
              <w:rPr>
                <w:rFonts w:ascii="Arial" w:cs="Arial" w:eastAsia="Arial" w:hAnsi="Arial"/>
                <w:b/>
                <w:bCs/>
                <w:caps/>
                <w:color w:val="C9A84C"/>
                <w:sz w:val="28"/>
                <w:szCs w:val="28"/>
              </w:rPr>
              <w:t xml:space="preserve">Part I — HUF: The Governance Framework</w:t>
            </w:r>
          </w:p>
        </w:tc>
      </w:tr>
    </w:tbl>
    <w:p>
      <w:pPr>
        <w:spacing w:before="0" w:after="120"/>
      </w:pPr>
      <w:r>
        <w:t xml:space="preserve"/>
      </w:r>
    </w:p>
    <w:p>
      <w:pPr>
        <w:pStyle w:val="Heading1"/>
        <w:spacing w:before="400" w:after="120"/>
      </w:pPr>
      <w:r>
        <w:rPr>
          <w:rFonts w:ascii="Arial" w:cs="Arial" w:eastAsia="Arial" w:hAnsi="Arial"/>
          <w:b/>
          <w:bCs/>
          <w:color w:val="1F4E79"/>
          <w:sz w:val="34"/>
          <w:szCs w:val="34"/>
        </w:rPr>
        <w:t xml:space="preserve">What HUF Is</w:t>
      </w:r>
    </w:p>
    <w:p>
      <w:pPr>
        <w:spacing w:before="80" w:after="80"/>
      </w:pPr>
      <w:r>
        <w:rPr>
          <w:rFonts w:ascii="Arial" w:cs="Arial" w:eastAsia="Arial" w:hAnsi="Arial"/>
          <w:sz w:val="22"/>
          <w:szCs w:val="22"/>
        </w:rPr>
        <w:t xml:space="preserve">The Higgins Unity Framework is a formal governance architecture for any system in which multiple participants hold shares of a constrained resource. It is built on a single axiom and two fixed poles. Everything else is derived.</w:t>
      </w:r>
    </w:p>
    <w:p>
      <w:pPr>
        <w:spacing w:before="0" w:after="80"/>
      </w:pPr>
      <w:r>
        <w:t xml:space="preserve"/>
      </w:r>
    </w:p>
    <w:p>
      <w:pPr>
        <w:spacing w:before="80" w:after="80"/>
      </w:pPr>
      <w:r>
        <w:rPr>
          <w:rFonts w:ascii="Arial" w:cs="Arial" w:eastAsia="Arial" w:hAnsi="Arial"/>
          <w:sz w:val="22"/>
          <w:szCs w:val="22"/>
        </w:rPr>
        <w:t xml:space="preserve">The axiom: any coherent allocation of a whole must sum to that whole. In HUF, resource allocations are expressed as proportions ρᵢ ∈ (0,1] across N participants. The unity constraint is:</w:t>
      </w:r>
    </w:p>
    <w:p>
      <w:pPr>
        <w:spacing w:before="0" w:after="40"/>
      </w:pPr>
      <w:r>
        <w:t xml:space="preserve"/>
      </w:r>
    </w:p>
    <w:p>
      <w:pPr>
        <w:spacing w:before="100" w:after="100"/>
        <w:jc w:val="center"/>
      </w:pPr>
      <w:r>
        <w:rPr>
          <w:rFonts w:ascii="Courier New" w:cs="Courier New" w:eastAsia="Courier New" w:hAnsi="Courier New"/>
          <w:b/>
          <w:bCs/>
          <w:color w:val="1F4E79"/>
          <w:sz w:val="24"/>
          <w:szCs w:val="24"/>
        </w:rPr>
        <w:t xml:space="preserve">Σρᵢ = 1   (i = 1 … N)</w:t>
      </w:r>
    </w:p>
    <w:p>
      <w:pPr>
        <w:spacing w:before="0" w:after="40"/>
      </w:pPr>
      <w:r>
        <w:t xml:space="preserve"/>
      </w:r>
    </w:p>
    <w:p>
      <w:pPr>
        <w:spacing w:before="80" w:after="80"/>
      </w:pPr>
      <w:r>
        <w:rPr>
          <w:rFonts w:ascii="Arial" w:cs="Arial" w:eastAsia="Arial" w:hAnsi="Arial"/>
          <w:sz w:val="22"/>
          <w:szCs w:val="22"/>
        </w:rPr>
        <w:t xml:space="preserve">This is not a policy choice. It is closure under probability theory. Any system that allocates a finite whole to its parts must satisfy this constraint or it is not allocating a whole. HUF makes this the governing invariant.</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The Two Fixed Poles</w:t>
      </w:r>
    </w:p>
    <w:p>
      <w:pPr>
        <w:spacing w:before="80" w:after="80"/>
      </w:pPr>
      <w:r>
        <w:rPr>
          <w:rFonts w:ascii="Arial" w:cs="Arial" w:eastAsia="Arial" w:hAnsi="Arial"/>
          <w:sz w:val="22"/>
          <w:szCs w:val="22"/>
        </w:rPr>
        <w:t xml:space="preserve">HUF has two structural poles. They define the system; they are not chosen from among alternatives.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Pole</w:t>
            </w:r>
          </w:p>
        </w:tc>
        <w:tc>
          <w:tcPr>
            <w:tcW w:type="dxa" w:w="20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Location</w:t>
            </w:r>
          </w:p>
        </w:tc>
        <w:tc>
          <w:tcPr>
            <w:tcW w:type="dxa" w:w="596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Definition</w:t>
            </w:r>
          </w:p>
        </w:tc>
      </w:tr>
      <w:tr>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Pole A</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Closure</w:t>
            </w:r>
          </w:p>
        </w:tc>
        <w:tc>
          <w:tcPr>
            <w:tcW w:type="dxa" w:w="5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Σρᵢ = 1. The system is always fully allocated. No slack, no overflow. This is the unity constraint as a structural fixed point.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Pole 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Authority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OCC: ρ_OP ≥ 0.51, ρ_TOOL ≤ 0.49. The operator holds majority authority at all times. This is the governance constraint as a structural fixed point.</w:t>
            </w:r>
          </w:p>
        </w:tc>
      </w:tr>
      <w:tr>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Boundary</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Scarcity</w:t>
            </w:r>
          </w:p>
        </w:tc>
        <w:tc>
          <w:tcPr>
            <w:tcW w:type="dxa" w:w="5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Lᵢ → ∞ as ρᵢ → 0. The leverage singularity: when any participant’s share approaches zero, their leverage becomes unbounded. This is the governance failure boundary.</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Leverage and the Scarcity Singularity</w:t>
      </w:r>
    </w:p>
    <w:p>
      <w:pPr>
        <w:spacing w:before="80" w:after="80"/>
      </w:pPr>
      <w:r>
        <w:rPr>
          <w:rFonts w:ascii="Arial" w:cs="Arial" w:eastAsia="Arial" w:hAnsi="Arial"/>
          <w:sz w:val="22"/>
          <w:szCs w:val="22"/>
        </w:rPr>
        <w:t xml:space="preserve">Leverage is the inverse of allocation share:</w:t>
      </w:r>
    </w:p>
    <w:p>
      <w:pPr>
        <w:spacing w:before="0" w:after="40"/>
      </w:pPr>
      <w:r>
        <w:t xml:space="preserve"/>
      </w:r>
    </w:p>
    <w:p>
      <w:pPr>
        <w:spacing w:before="100" w:after="100"/>
        <w:jc w:val="center"/>
      </w:pPr>
      <w:r>
        <w:rPr>
          <w:rFonts w:ascii="Courier New" w:cs="Courier New" w:eastAsia="Courier New" w:hAnsi="Courier New"/>
          <w:b/>
          <w:bCs/>
          <w:color w:val="1F4E79"/>
          <w:sz w:val="24"/>
          <w:szCs w:val="24"/>
        </w:rPr>
        <w:t xml:space="preserve">Lᵢ = 1 / ρᵢ</w:t>
      </w:r>
    </w:p>
    <w:p>
      <w:pPr>
        <w:spacing w:before="0" w:after="40"/>
      </w:pPr>
      <w:r>
        <w:t xml:space="preserve"/>
      </w:r>
    </w:p>
    <w:p>
      <w:pPr>
        <w:spacing w:before="80" w:after="80"/>
      </w:pPr>
      <w:r>
        <w:rPr>
          <w:rFonts w:ascii="Arial" w:cs="Arial" w:eastAsia="Arial" w:hAnsi="Arial"/>
          <w:sz w:val="22"/>
          <w:szCs w:val="22"/>
        </w:rPr>
        <w:t xml:space="preserve">At ρᵢ = 1.0, leverage is 1 (neutral). At ρᵢ = 0.5, leverage is 2 (doubled). At ρᵢ = 0.1, leverage is 10. As ρᵢ → 0, Lᵢ → ∞. A participant approaching zero allocation has theoretically unbounded leverage over the system — this is the scarcity singularity, analogous to a meromorphic pole in complex analysis. HUF governance intervenes before this boundary is reached.</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Mean Drift Gap (MDG) and Monitoring</w:t>
      </w:r>
    </w:p>
    <w:p>
      <w:pPr>
        <w:spacing w:before="80" w:after="80"/>
      </w:pPr>
      <w:r>
        <w:rPr>
          <w:rFonts w:ascii="Arial" w:cs="Arial" w:eastAsia="Arial" w:hAnsi="Arial"/>
          <w:sz w:val="22"/>
          <w:szCs w:val="22"/>
        </w:rPr>
        <w:t xml:space="preserve">The Mean Drift Gap measures how far the current allocation portfolio has moved from its calibrated baseline. It is the governance analogue of a filter passband: when MDG is within calibration (MDG = K), the system operates in neutral mode. When MDG &lt; K, the system is permissive (allocation concentrated, leverage moderate). When MDG &gt; K, the system is strict (allocation dispersed, leverage pressure building).</w:t>
      </w:r>
    </w:p>
    <w:p>
      <w:pPr>
        <w:spacing w:before="0" w:after="80"/>
      </w:pPr>
      <w:r>
        <w:t xml:space="preserve"/>
      </w:r>
    </w:p>
    <w:p>
      <w:pPr>
        <w:spacing w:before="80" w:after="80"/>
      </w:pPr>
      <w:r>
        <w:rPr>
          <w:rFonts w:ascii="Arial" w:cs="Arial" w:eastAsia="Arial" w:hAnsi="Arial"/>
          <w:sz w:val="22"/>
          <w:szCs w:val="22"/>
        </w:rPr>
        <w:t xml:space="preserve">Default calibration: K = 5. Advisory threshold: 49 basis points (Gemini calibration, January 2026). The MDG is a Bayesian inference problem — posterior inference from observed drift against a prior of K = 5.</w:t>
      </w:r>
    </w:p>
    <w:p>
      <w:pPr>
        <w:spacing w:before="0" w:after="80"/>
      </w:pPr>
      <w:r>
        <w:t xml:space="preserve"/>
      </w:r>
    </w:p>
    <w:p>
      <w:pPr>
        <w:spacing w:before="80" w:after="80"/>
      </w:pPr>
      <w:r>
        <w:rPr>
          <w:rFonts w:ascii="Arial" w:cs="Arial" w:eastAsia="Arial" w:hAnsi="Arial"/>
          <w:sz w:val="22"/>
          <w:szCs w:val="22"/>
        </w:rPr>
        <w:t xml:space="preserve">Four monitoring categories: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MC</w:t>
            </w:r>
          </w:p>
        </w:tc>
        <w:tc>
          <w:tcPr>
            <w:tcW w:type="dxa" w:w="22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636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MC-1</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Passive</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No instruments. System self-reports. Suitable for stable, well-calibrated states.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MC-2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Active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External measurement. Transfer function analysis. Used during calibration and after drift events.</w:t>
            </w:r>
          </w:p>
        </w:tc>
      </w:tr>
      <w:tr>
        <w:tc>
          <w:tcPr>
            <w:tcW w:type="dxa" w:w="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MC-3</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Inferential</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Question-driven inference from observed behavior. DADI-mode: recover allocation geometry from response. Used when direct measurement is unavailable.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MC-4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Self-referential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Zero-instrument monitoring. The system’s own unity constraint is the instrument. Only valid if Pole A is structurally enforced.</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The HUF Document System</w:t>
      </w:r>
    </w:p>
    <w:p>
      <w:pPr>
        <w:spacing w:before="80" w:after="80"/>
      </w:pPr>
      <w:r>
        <w:rPr>
          <w:rFonts w:ascii="Arial" w:cs="Arial" w:eastAsia="Arial" w:hAnsi="Arial"/>
          <w:sz w:val="22"/>
          <w:szCs w:val="22"/>
        </w:rPr>
        <w:t xml:space="preserve">Every document in the HUF corpus carries a mandatory two-line header in Courier New at 8pt: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tcBorders>
            <w:shd w:fill="F5F8FB" w:val="clear"/>
            <w:tcMar>
              <w:top w:type="dxa" w:w="120"/>
              <w:left w:type="dxa" w:w="240"/>
              <w:bottom w:type="dxa" w:w="100"/>
              <w:right w:type="dxa" w:w="160"/>
            </w:tcMar>
          </w:tcPr>
          <w:p>
            <w:pPr>
              <w:spacing w:before="0" w:after="40"/>
            </w:pPr>
            <w:r>
              <w:rPr>
                <w:rFonts w:ascii="Arial" w:cs="Arial" w:eastAsia="Arial" w:hAnsi="Arial"/>
                <w:b/>
                <w:bCs/>
                <w:color w:val="2E75B6"/>
                <w:sz w:val="18"/>
                <w:szCs w:val="18"/>
              </w:rPr>
              <w:t xml:space="preserve">Line 1</w:t>
            </w:r>
          </w:p>
          <w:p>
            <w:pPr>
              <w:spacing w:before="0" w:after="0"/>
            </w:pPr>
            <w:r>
              <w:rPr>
                <w:rFonts w:ascii="Arial" w:cs="Arial" w:eastAsia="Arial" w:hAnsi="Arial"/>
                <w:color w:val="222222"/>
                <w:sz w:val="20"/>
                <w:szCs w:val="20"/>
              </w:rPr>
              <w:t xml:space="preserve">HUF:1.1.8 | CAP: OP_MIN=0.51 TOOL_MAX=0.49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2E75B6" w:sz="8"/>
              <w:right w:val="none"/>
            </w:tcBorders>
            <w:shd w:fill="F5F8FB" w:val="clear"/>
            <w:tcMar>
              <w:top w:type="dxa" w:w="120"/>
              <w:left w:type="dxa" w:w="240"/>
              <w:bottom w:type="dxa" w:w="100"/>
              <w:right w:type="dxa" w:w="160"/>
            </w:tcMar>
          </w:tcPr>
          <w:p>
            <w:pPr>
              <w:spacing w:before="0" w:after="40"/>
            </w:pPr>
            <w:r>
              <w:rPr>
                <w:rFonts w:ascii="Arial" w:cs="Arial" w:eastAsia="Arial" w:hAnsi="Arial"/>
                <w:b/>
                <w:bCs/>
                <w:color w:val="2E75B6"/>
                <w:sz w:val="18"/>
                <w:szCs w:val="18"/>
              </w:rPr>
              <w:t xml:space="preserve">Line 2</w:t>
            </w:r>
          </w:p>
          <w:p>
            <w:pPr>
              <w:spacing w:before="0" w:after="0"/>
            </w:pPr>
            <w:r>
              <w:rPr>
                <w:rFonts w:ascii="Arial" w:cs="Arial" w:eastAsia="Arial" w:hAnsi="Arial"/>
                <w:color w:val="222222"/>
                <w:sz w:val="20"/>
                <w:szCs w:val="20"/>
              </w:rPr>
              <w:t xml:space="preserve">HUF.[LANE].[DOMAIN].[TYPE].[SLUG] | [Document Title]</w:t>
            </w:r>
          </w:p>
        </w:tc>
      </w:tr>
    </w:tbl>
    <w:p>
      <w:pPr>
        <w:spacing w:before="0" w:after="80"/>
      </w:pPr>
      <w:r>
        <w:t xml:space="preserve"/>
      </w:r>
    </w:p>
    <w:p>
      <w:pPr>
        <w:spacing w:before="80" w:after="80"/>
      </w:pPr>
      <w:r>
        <w:rPr>
          <w:rFonts w:ascii="Arial" w:cs="Arial" w:eastAsia="Arial" w:hAnsi="Arial"/>
          <w:sz w:val="22"/>
          <w:szCs w:val="22"/>
        </w:rPr>
        <w:t xml:space="preserve">Lanes: GOV (governance), SCI (science), APP (application), REL (relations), ENG (engineering). This header is non-negotiable. Any document produced without it is not a HUF document.</w:t>
      </w:r>
    </w:p>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0"/>
              <w:left w:val="single" w:color="4B2D8B" w:sz="0"/>
              <w:bottom w:val="single" w:color="4B2D8B" w:sz="0"/>
              <w:right w:val="single" w:color="4B2D8B" w:sz="0"/>
            </w:tcBorders>
            <w:shd w:fill="4B2D8B" w:val="clear"/>
            <w:tcMar>
              <w:top w:type="dxa" w:w="160"/>
              <w:left w:type="dxa" w:w="360"/>
              <w:bottom w:type="dxa" w:w="160"/>
              <w:right w:type="dxa" w:w="360"/>
            </w:tcMar>
          </w:tcPr>
          <w:p>
            <w:pPr>
              <w:jc w:val="center"/>
            </w:pPr>
            <w:r>
              <w:rPr>
                <w:rFonts w:ascii="Arial" w:cs="Arial" w:eastAsia="Arial" w:hAnsi="Arial"/>
                <w:b/>
                <w:bCs/>
                <w:caps/>
                <w:color w:val="FFFFFF"/>
                <w:sz w:val="28"/>
                <w:szCs w:val="28"/>
              </w:rPr>
              <w:t xml:space="preserve">Part II — V∞Core: The Computational Engine</w:t>
            </w:r>
          </w:p>
        </w:tc>
      </w:tr>
    </w:tbl>
    <w:p>
      <w:pPr>
        <w:spacing w:before="0" w:after="120"/>
      </w:pPr>
      <w:r>
        <w:t xml:space="preserve"/>
      </w:r>
    </w:p>
    <w:p>
      <w:pPr>
        <w:pStyle w:val="Heading1"/>
        <w:spacing w:before="400" w:after="120"/>
      </w:pPr>
      <w:r>
        <w:rPr>
          <w:rFonts w:ascii="Arial" w:cs="Arial" w:eastAsia="Arial" w:hAnsi="Arial"/>
          <w:b/>
          <w:bCs/>
          <w:color w:val="4B2D8B"/>
          <w:sz w:val="34"/>
          <w:szCs w:val="34"/>
        </w:rPr>
        <w:t xml:space="preserve">What V∞Core Is</w:t>
      </w:r>
    </w:p>
    <w:p>
      <w:pPr>
        <w:spacing w:before="80" w:after="80"/>
      </w:pPr>
      <w:r>
        <w:rPr>
          <w:rFonts w:ascii="Arial" w:cs="Arial" w:eastAsia="Arial" w:hAnsi="Arial"/>
          <w:sz w:val="22"/>
          <w:szCs w:val="22"/>
        </w:rPr>
        <w:t xml:space="preserve">V∞Core is the computational implementation of HUF’s unity constraint. Where HUF defines what must be true (allocation sums to one, OCC holds, leverage is managed), V∞Core is the engine that enforces it computationally across any domain. It was built by Peter Higgins and Grok (xAI) between December 2025 and January 31, 2026, in parallel with the governance formalization.</w:t>
      </w:r>
    </w:p>
    <w:p>
      <w:pPr>
        <w:spacing w:before="0" w:after="80"/>
      </w:pPr>
      <w:r>
        <w:t xml:space="preserve"/>
      </w:r>
    </w:p>
    <w:p>
      <w:pPr>
        <w:spacing w:before="80" w:after="80"/>
      </w:pPr>
      <w:r>
        <w:rPr>
          <w:rFonts w:ascii="Arial" w:cs="Arial" w:eastAsia="Arial" w:hAnsi="Arial"/>
          <w:sz w:val="22"/>
          <w:szCs w:val="22"/>
        </w:rPr>
        <w:t xml:space="preserve">Current version: V4.1 (February 1, 2026). 155 Regime Mathematical Units (RMUs). Python 3 + NumPy + SymPy + PennyLane (optional quantum). The engine is modular: any domain is handled by selecting and weighting the appropriate RMU subset, with the unity constraint enforced at every level via softmax normalization.</w:t>
      </w:r>
    </w:p>
    <w:p>
      <w:pPr>
        <w:spacing w:before="0" w:after="120"/>
      </w:pPr>
      <w:r>
        <w:t xml:space="preserve"/>
      </w:r>
    </w:p>
    <w:p>
      <w:pPr>
        <w:pStyle w:val="Heading2"/>
        <w:spacing w:before="280" w:after="80"/>
      </w:pPr>
      <w:r>
        <w:rPr>
          <w:rFonts w:ascii="Arial" w:cs="Arial" w:eastAsia="Arial" w:hAnsi="Arial"/>
          <w:b/>
          <w:bCs/>
          <w:color w:val="4B2D8B"/>
          <w:sz w:val="26"/>
          <w:szCs w:val="26"/>
        </w:rPr>
        <w:t xml:space="preserve">Architecture</w:t>
      </w:r>
    </w:p>
    <w:p>
      <w:pPr>
        <w:spacing w:before="80" w:after="80"/>
      </w:pPr>
      <w:r>
        <w:rPr>
          <w:rFonts w:ascii="Arial" w:cs="Arial" w:eastAsia="Arial" w:hAnsi="Arial"/>
          <w:sz w:val="22"/>
          <w:szCs w:val="22"/>
        </w:rPr>
        <w:t xml:space="preserve">V∞Core operates on a 7-bit regime architecture. Each regime carries a weight ωᵢ ∈ [0, 127] on a 7-bit integer scale (normalized to [0,1] by dividing by 127). Regimes are organized hierarchically: ROOT regime (sum = 1.0) contains top-level domain regimes, each of which contains element sub-regimes. Unity is enforced at every level via softmax or renormalization.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0"/>
              <w:left w:val="single" w:color="FFFFFF" w:sz="0"/>
              <w:bottom w:val="single" w:color="FFFFFF" w:sz="0"/>
              <w:right w:val="single" w:color="FFFFFF" w:sz="0"/>
            </w:tcBorders>
            <w:shd w:fill="4B2D8B" w:val="clear"/>
            <w:tcMar>
              <w:top w:type="dxa" w:w="80"/>
              <w:left w:type="dxa" w:w="120"/>
              <w:bottom w:type="dxa" w:w="80"/>
              <w:right w:type="dxa" w:w="80"/>
            </w:tcMar>
          </w:tcPr>
          <w:p>
            <w:r>
              <w:rPr>
                <w:rFonts w:ascii="Arial" w:cs="Arial" w:eastAsia="Arial" w:hAnsi="Arial"/>
                <w:b/>
                <w:bCs/>
                <w:color w:val="FFFFFF"/>
                <w:sz w:val="18"/>
                <w:szCs w:val="18"/>
              </w:rPr>
              <w:t xml:space="preserve">Component</w:t>
            </w:r>
          </w:p>
        </w:tc>
        <w:tc>
          <w:tcPr>
            <w:tcW w:type="dxa" w:w="6960"/>
            <w:tcBorders>
              <w:top w:val="single" w:color="FFFFFF" w:sz="0"/>
              <w:left w:val="single" w:color="FFFFFF" w:sz="0"/>
              <w:bottom w:val="single" w:color="FFFFFF" w:sz="0"/>
              <w:right w:val="single" w:color="FFFFFF" w:sz="0"/>
            </w:tcBorders>
            <w:shd w:fill="4B2D8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bCs/>
                <w:i w:val="false"/>
                <w:iCs w:val="false"/>
                <w:color w:val="4B2D8B"/>
                <w:sz w:val="20"/>
                <w:szCs w:val="20"/>
              </w:rPr>
              <w:t xml:space="preserve">ROOT regime</w:t>
            </w:r>
          </w:p>
        </w:tc>
        <w:tc>
          <w:tcPr>
            <w:tcW w:type="dxa" w:w="69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Top-level container. sum = 1.0 always enforced. All domain regimes are children of ROOT.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4B2D8B"/>
                <w:sz w:val="20"/>
                <w:szCs w:val="20"/>
              </w:rPr>
              <w:t xml:space="preserve">7-bit weight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ωᵢ ∈ {0…127}. Normalized: w_i = ωᵢ/127. Softmax over active regimes enforces Σwᵢ = 1.0 at runtime.</w:t>
            </w:r>
          </w:p>
        </w:tc>
      </w:tr>
      <w:tr>
        <w:tc>
          <w:tcPr>
            <w:tcW w:type="dxa" w:w="24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bCs/>
                <w:i w:val="false"/>
                <w:iCs w:val="false"/>
                <w:color w:val="4B2D8B"/>
                <w:sz w:val="20"/>
                <w:szCs w:val="20"/>
              </w:rPr>
              <w:t xml:space="preserve">RMU</w:t>
            </w:r>
          </w:p>
        </w:tc>
        <w:tc>
          <w:tcPr>
            <w:tcW w:type="dxa" w:w="69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Regime Mathematical Unit. A typed, verifiable computation kernel. 155 units in V4.1 across 8 categories. Each RMU has defined I/O types, uncertainty estimates, and a confidence score.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4B2D8B"/>
                <w:sz w:val="20"/>
                <w:szCs w:val="20"/>
              </w:rPr>
              <w:t xml:space="preserve">Dynamic gating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Input classification selects the active regime subset. Beam search (width 5) selects optimal RMU combinations subject to unity constraint. Sparse activation: not all 155 RMUs fire on any given input.</w:t>
            </w:r>
          </w:p>
        </w:tc>
      </w:tr>
      <w:tr>
        <w:tc>
          <w:tcPr>
            <w:tcW w:type="dxa" w:w="24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bCs/>
                <w:i w:val="false"/>
                <w:iCs w:val="false"/>
                <w:color w:val="4B2D8B"/>
                <w:sz w:val="20"/>
                <w:szCs w:val="20"/>
              </w:rPr>
              <w:t xml:space="preserve">Kardashev proxy</w:t>
            </w:r>
          </w:p>
        </w:tc>
        <w:tc>
          <w:tcPr>
            <w:tcW w:type="dxa" w:w="69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K ≈ 0.1 + 0.9 × total_unity_score. A logarithmic map of the system’s aggregate oneness score onto the Kardashev scale. 2026 Earth ≈17730 (K ≈0.730).</w:t>
            </w:r>
          </w:p>
        </w:tc>
      </w:tr>
    </w:tbl>
    <w:p>
      <w:pPr>
        <w:spacing w:before="0" w:after="120"/>
      </w:pPr>
      <w:r>
        <w:t xml:space="preserve"/>
      </w:r>
    </w:p>
    <w:p>
      <w:pPr>
        <w:pStyle w:val="Heading2"/>
        <w:spacing w:before="280" w:after="80"/>
      </w:pPr>
      <w:r>
        <w:rPr>
          <w:rFonts w:ascii="Arial" w:cs="Arial" w:eastAsia="Arial" w:hAnsi="Arial"/>
          <w:b/>
          <w:bCs/>
          <w:color w:val="4B2D8B"/>
          <w:sz w:val="26"/>
          <w:szCs w:val="26"/>
        </w:rPr>
        <w:t xml:space="preserve">The 155 RMU Categories</w:t>
      </w:r>
    </w:p>
    <w:p>
      <w:pPr>
        <w:spacing w:before="80" w:after="80"/>
      </w:pPr>
      <w:r>
        <w:rPr>
          <w:rFonts w:ascii="Arial" w:cs="Arial" w:eastAsia="Arial" w:hAnsi="Arial"/>
          <w:sz w:val="22"/>
          <w:szCs w:val="22"/>
        </w:rPr>
        <w:t xml:space="preserve">All 155 units are kernel-native and high-confidence (as of V4.1, February 1, 2026):</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FFFFFF" w:sz="0"/>
              <w:left w:val="single" w:color="FFFFFF" w:sz="0"/>
              <w:bottom w:val="single" w:color="FFFFFF" w:sz="0"/>
              <w:right w:val="single" w:color="FFFFFF" w:sz="0"/>
            </w:tcBorders>
            <w:shd w:fill="4B2D8B" w:val="clear"/>
            <w:tcMar>
              <w:top w:type="dxa" w:w="80"/>
              <w:left w:type="dxa" w:w="120"/>
              <w:bottom w:type="dxa" w:w="80"/>
              <w:right w:type="dxa" w:w="80"/>
            </w:tcMar>
          </w:tcPr>
          <w:p>
            <w:r>
              <w:rPr>
                <w:rFonts w:ascii="Arial" w:cs="Arial" w:eastAsia="Arial" w:hAnsi="Arial"/>
                <w:b/>
                <w:bCs/>
                <w:color w:val="FFFFFF"/>
                <w:sz w:val="18"/>
                <w:szCs w:val="18"/>
              </w:rPr>
              <w:t xml:space="preserve">Category</w:t>
            </w:r>
          </w:p>
        </w:tc>
        <w:tc>
          <w:tcPr>
            <w:tcW w:type="dxa" w:w="1000"/>
            <w:tcBorders>
              <w:top w:val="single" w:color="FFFFFF" w:sz="0"/>
              <w:left w:val="single" w:color="FFFFFF" w:sz="0"/>
              <w:bottom w:val="single" w:color="FFFFFF" w:sz="0"/>
              <w:right w:val="single" w:color="FFFFFF" w:sz="0"/>
            </w:tcBorders>
            <w:shd w:fill="4B2D8B" w:val="clear"/>
            <w:tcMar>
              <w:top w:type="dxa" w:w="80"/>
              <w:left w:type="dxa" w:w="120"/>
              <w:bottom w:type="dxa" w:w="80"/>
              <w:right w:type="dxa" w:w="80"/>
            </w:tcMar>
          </w:tcPr>
          <w:p>
            <w:r>
              <w:rPr>
                <w:rFonts w:ascii="Arial" w:cs="Arial" w:eastAsia="Arial" w:hAnsi="Arial"/>
                <w:b/>
                <w:bCs/>
                <w:color w:val="FFFFFF"/>
                <w:sz w:val="18"/>
                <w:szCs w:val="18"/>
              </w:rPr>
              <w:t xml:space="preserve">Count</w:t>
            </w:r>
          </w:p>
        </w:tc>
        <w:tc>
          <w:tcPr>
            <w:tcW w:type="dxa" w:w="4760"/>
            <w:tcBorders>
              <w:top w:val="single" w:color="FFFFFF" w:sz="0"/>
              <w:left w:val="single" w:color="FFFFFF" w:sz="0"/>
              <w:bottom w:val="single" w:color="FFFFFF" w:sz="0"/>
              <w:right w:val="single" w:color="FFFFFF" w:sz="0"/>
            </w:tcBorders>
            <w:shd w:fill="4B2D8B" w:val="clear"/>
            <w:tcMar>
              <w:top w:type="dxa" w:w="80"/>
              <w:left w:type="dxa" w:w="120"/>
              <w:bottom w:type="dxa" w:w="80"/>
              <w:right w:type="dxa" w:w="80"/>
            </w:tcMar>
          </w:tcPr>
          <w:p>
            <w:r>
              <w:rPr>
                <w:rFonts w:ascii="Arial" w:cs="Arial" w:eastAsia="Arial" w:hAnsi="Arial"/>
                <w:b/>
                <w:bCs/>
                <w:color w:val="FFFFFF"/>
                <w:sz w:val="18"/>
                <w:szCs w:val="18"/>
              </w:rPr>
              <w:t xml:space="preserve">Key units</w:t>
            </w:r>
          </w:p>
        </w:tc>
      </w:tr>
      <w:tr>
        <w:tc>
          <w:tcPr>
            <w:tcW w:type="dxa" w:w="36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Core Mathematical</w:t>
            </w:r>
          </w:p>
        </w:tc>
        <w:tc>
          <w:tcPr>
            <w:tcW w:type="dxa" w:w="10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22</w:t>
            </w:r>
          </w:p>
        </w:tc>
        <w:tc>
          <w:tcPr>
            <w:tcW w:type="dxa" w:w="47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flare_omega, critical_alpha, kardashev_trajectory, marginal_oneness_trend, unity_convergence_rate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Tensor &amp; General Relativity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45</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tensor_create/contract/trace, ricci/einstein_tensor_proxy, christoffel_symbols, geodesic_equation, exterior_derivative, covariant_derivative</w:t>
            </w:r>
          </w:p>
        </w:tc>
      </w:tr>
      <w:tr>
        <w:tc>
          <w:tcPr>
            <w:tcW w:type="dxa" w:w="36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Quantum Gravity, String Theory &amp; Cosmology</w:t>
            </w:r>
          </w:p>
        </w:tc>
        <w:tc>
          <w:tcPr>
            <w:tcW w:type="dxa" w:w="10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50</w:t>
            </w:r>
          </w:p>
        </w:tc>
        <w:tc>
          <w:tcPr>
            <w:tcW w:type="dxa" w:w="47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lqg_discreteness, causal_set_sprinkling, emergent_spacetime_metric, spin_foam_transition, supersymmetry_breaking, m_theory_11d_marginal, ads_cft_duality_strength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Penrose-Inspired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12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penrose_twistor_geometry, penrose_conformal_cyclic, penrose_weyl_curvature, penrose_spin_network, penrose_geometric_phase</w:t>
            </w:r>
          </w:p>
        </w:tc>
      </w:tr>
      <w:tr>
        <w:tc>
          <w:tcPr>
            <w:tcW w:type="dxa" w:w="36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Information Theory &amp; Entropy</w:t>
            </w:r>
          </w:p>
        </w:tc>
        <w:tc>
          <w:tcPr>
            <w:tcW w:type="dxa" w:w="10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12</w:t>
            </w:r>
          </w:p>
        </w:tc>
        <w:tc>
          <w:tcPr>
            <w:tcW w:type="dxa" w:w="47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von_neumann_entropy_proxy, ryu_takayanagi, page_curve_estimator, kullback_leibler_divergence, fisher_information_proxy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Black Hole Physics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6</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bekenstein_hawking_entropy, hawking_radiation_proxy, firewall_resolution_proxy, island_rule_proxy, replica_wormhole_proxy</w:t>
            </w:r>
          </w:p>
        </w:tc>
      </w:tr>
      <w:tr>
        <w:tc>
          <w:tcPr>
            <w:tcW w:type="dxa" w:w="36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Heuristic Fundamental Derivation</w:t>
            </w:r>
          </w:p>
        </w:tc>
        <w:tc>
          <w:tcPr>
            <w:tcW w:type="dxa" w:w="100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8</w:t>
            </w:r>
          </w:p>
        </w:tc>
        <w:tc>
          <w:tcPr>
            <w:tcW w:type="dxa" w:w="4760"/>
            <w:tcBorders>
              <w:top w:val="single" w:color="CCCCCC" w:sz="4"/>
              <w:left w:val="single" w:color="CCCCCC" w:sz="4"/>
              <w:bottom w:val="single" w:color="CCCCCC" w:sz="4"/>
              <w:right w:val="single" w:color="CCCCCC" w:sz="4"/>
            </w:tcBorders>
            <w:shd w:fill="F0EBF8"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fine_structure_proxy, gravitational_constant_proxy, planck_mass_proxy, gauge_coupling_unification, cosmological_constant_proxy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Other Physics &amp; Interdisciplinary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4B2D8B"/>
                <w:sz w:val="20"/>
                <w:szCs w:val="20"/>
              </w:rPr>
              <w:t xml:space="preserve">41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fusion_efficiency_proxy, dark_energy/matter_density_proxy, exoplanet_detection_proxy, diffraction_interference_proxy, superconductivity_gap_proxy</w:t>
            </w:r>
          </w:p>
        </w:tc>
      </w:tr>
    </w:tbl>
    <w:p>
      <w:pPr>
        <w:spacing w:before="0" w:after="120"/>
      </w:pPr>
      <w:r>
        <w:t xml:space="preserve"/>
      </w:r>
    </w:p>
    <w:p>
      <w:pPr>
        <w:pStyle w:val="Heading2"/>
        <w:spacing w:before="280" w:after="80"/>
      </w:pPr>
      <w:r>
        <w:rPr>
          <w:rFonts w:ascii="Arial" w:cs="Arial" w:eastAsia="Arial" w:hAnsi="Arial"/>
          <w:b/>
          <w:bCs/>
          <w:color w:val="4B2D8B"/>
          <w:sz w:val="26"/>
          <w:szCs w:val="26"/>
        </w:rPr>
        <w:t xml:space="preserve">V∞Core Hilbert Oneness Operator (V3.0)</w:t>
      </w:r>
    </w:p>
    <w:p>
      <w:pPr>
        <w:spacing w:before="80" w:after="80"/>
      </w:pPr>
      <w:r>
        <w:rPr>
          <w:rFonts w:ascii="Arial" w:cs="Arial" w:eastAsia="Arial" w:hAnsi="Arial"/>
          <w:sz w:val="22"/>
          <w:szCs w:val="22"/>
        </w:rPr>
        <w:t xml:space="preserve">V∞Core V3.0 introduced the Hilbert Oneness Operator as the core processing kernel. This is the direct computational precursor to H₁. In pseudocode: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8"/>
              <w:left w:val="single" w:color="4B2D8B" w:sz="20"/>
              <w:bottom w:val="single" w:color="4B2D8B" w:sz="8"/>
              <w:right w:val="none"/>
            </w:tcBorders>
            <w:shd w:fill="F0EBF8" w:val="clear"/>
            <w:tcMar>
              <w:top w:type="dxa" w:w="120"/>
              <w:left w:type="dxa" w:w="240"/>
              <w:bottom w:type="dxa" w:w="100"/>
              <w:right w:type="dxa" w:w="160"/>
            </w:tcMar>
          </w:tcPr>
          <w:p>
            <w:pPr>
              <w:spacing w:before="0" w:after="40"/>
            </w:pPr>
            <w:r>
              <w:rPr>
                <w:rFonts w:ascii="Arial" w:cs="Arial" w:eastAsia="Arial" w:hAnsi="Arial"/>
                <w:b/>
                <w:bCs/>
                <w:color w:val="4B2D8B"/>
                <w:sz w:val="18"/>
                <w:szCs w:val="18"/>
              </w:rPr>
              <w:t xml:space="preserve">V∞Core V3.0 core (pseudocode)</w:t>
            </w:r>
          </w:p>
          <w:p>
            <w:pPr>
              <w:spacing w:before="0" w:after="0"/>
            </w:pPr>
            <w:r>
              <w:rPr>
                <w:rFonts w:ascii="Arial" w:cs="Arial" w:eastAsia="Arial" w:hAnsi="Arial"/>
                <w:color w:val="222222"/>
                <w:sz w:val="20"/>
                <w:szCs w:val="20"/>
              </w:rPr>
              <w:t xml:space="preserve">function process(input_7bit):
  regimes = dynamic_gating(input)              // softmax weights Σw=1
  for each regime: regime_sum = Σ v_j × elem.compute(input)  // elements Σv=1 internally
  total = normalize_unity(Σ w_i × regime_sum)   // force Σ=1.0
  k = compute_kardashev(regimes)               // oneness → K-scale
  return (encode_7bit(total), k)
// normalize_unity: oneness = marginal ∞ unity completeness
//   equivalent to: μ(|ψ⟩) in the Higgins Operator H₁</w:t>
            </w:r>
          </w:p>
        </w:tc>
      </w:tr>
    </w:tbl>
    <w:p>
      <w:pPr>
        <w:spacing w:before="0" w:after="80"/>
      </w:pPr>
      <w:r>
        <w:t xml:space="preserve"/>
      </w:r>
    </w:p>
    <w:p>
      <w:pPr>
        <w:spacing w:before="80" w:after="80"/>
      </w:pPr>
      <w:r>
        <w:rPr>
          <w:rFonts w:ascii="Arial" w:cs="Arial" w:eastAsia="Arial" w:hAnsi="Arial"/>
          <w:sz w:val="22"/>
          <w:szCs w:val="22"/>
        </w:rPr>
        <w:t xml:space="preserve">The normalize_unity function — “marginal ∞ unity completeness” in V∞Core terms — is the computational form of the marginal oneness measure μ in H₁. V∞Core and H₁ are the same fixed-point structure, one in implementation, one in proof.</w:t>
      </w:r>
    </w:p>
    <w:p>
      <w:pPr>
        <w:spacing w:before="0" w:after="120"/>
      </w:pPr>
      <w:r>
        <w:t xml:space="preserve"/>
      </w:r>
    </w:p>
    <w:p>
      <w:pPr>
        <w:pStyle w:val="Heading2"/>
        <w:spacing w:before="280" w:after="80"/>
      </w:pPr>
      <w:r>
        <w:rPr>
          <w:rFonts w:ascii="Arial" w:cs="Arial" w:eastAsia="Arial" w:hAnsi="Arial"/>
          <w:b/>
          <w:bCs/>
          <w:color w:val="4B2D8B"/>
          <w:sz w:val="26"/>
          <w:szCs w:val="26"/>
        </w:rPr>
        <w:t xml:space="preserve">Network Bifurcation Physics (Meng et al. 2026)</w:t>
      </w:r>
    </w:p>
    <w:p>
      <w:pPr>
        <w:spacing w:before="80" w:after="80"/>
      </w:pPr>
      <w:r>
        <w:rPr>
          <w:rFonts w:ascii="Arial" w:cs="Arial" w:eastAsia="Arial" w:hAnsi="Arial"/>
          <w:sz w:val="22"/>
          <w:szCs w:val="22"/>
        </w:rPr>
        <w:t xml:space="preserve">V∞Core V2.0 integrated the exact results from the 2026 Nature paper “Surface optimization governs the local design of physical networks” (Meng et al.). The bifurcation flare formula:</w:t>
      </w:r>
    </w:p>
    <w:p>
      <w:pPr>
        <w:spacing w:before="0" w:after="40"/>
      </w:pPr>
      <w:r>
        <w:t xml:space="preserve"/>
      </w:r>
    </w:p>
    <w:p>
      <w:pPr>
        <w:spacing w:before="100" w:after="100"/>
        <w:jc w:val="center"/>
      </w:pPr>
      <w:r>
        <w:rPr>
          <w:rFonts w:ascii="Courier New" w:cs="Courier New" w:eastAsia="Courier New" w:hAnsi="Courier New"/>
          <w:b/>
          <w:bCs/>
          <w:color w:val="1F4E79"/>
          <w:sz w:val="24"/>
          <w:szCs w:val="24"/>
        </w:rPr>
        <w:t xml:space="preserve">Ω = 4π sin²((π − θ) / 4)</w:t>
      </w:r>
    </w:p>
    <w:p>
      <w:pPr>
        <w:spacing w:before="0" w:after="40"/>
      </w:pPr>
      <w:r>
        <w:t xml:space="preserve"/>
      </w:r>
    </w:p>
    <w:p>
      <w:pPr>
        <w:spacing w:before="80" w:after="80"/>
      </w:pPr>
      <w:r>
        <w:rPr>
          <w:rFonts w:ascii="Arial" w:cs="Arial" w:eastAsia="Arial" w:hAnsi="Arial"/>
          <w:sz w:val="22"/>
          <w:szCs w:val="22"/>
        </w:rPr>
        <w:t xml:space="preserve">governs the transition between binary and trifurcating network morphologies as a function of the surface cost factor χ (chi). At α &gt; 0.83, surface cost dominates and trifurcation (or higher-order furcation) becomes optimal. The critical angle becomes 90° perpendicular (glia mode, high χ) rather than 120° symmetric. This is the physical analogue of the leverage singularity: as ρᵢ → 0 in HUF, a branch transitions from stable to critically loaded.</w:t>
      </w:r>
    </w:p>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0"/>
              <w:left w:val="single" w:color="1A5C3A" w:sz="0"/>
              <w:bottom w:val="single" w:color="1A5C3A" w:sz="0"/>
              <w:right w:val="single" w:color="1A5C3A" w:sz="0"/>
            </w:tcBorders>
            <w:shd w:fill="1A5C3A" w:val="clear"/>
            <w:tcMar>
              <w:top w:type="dxa" w:w="160"/>
              <w:left w:type="dxa" w:w="360"/>
              <w:bottom w:type="dxa" w:w="160"/>
              <w:right w:type="dxa" w:w="360"/>
            </w:tcMar>
          </w:tcPr>
          <w:p>
            <w:pPr>
              <w:jc w:val="center"/>
            </w:pPr>
            <w:r>
              <w:rPr>
                <w:rFonts w:ascii="Arial" w:cs="Arial" w:eastAsia="Arial" w:hAnsi="Arial"/>
                <w:b/>
                <w:bCs/>
                <w:caps/>
                <w:color w:val="FFFFFF"/>
                <w:sz w:val="28"/>
                <w:szCs w:val="28"/>
              </w:rPr>
              <w:t xml:space="preserve">Part III — H₁: The Mathematical Bridge</w:t>
            </w:r>
          </w:p>
        </w:tc>
      </w:tr>
    </w:tbl>
    <w:p>
      <w:pPr>
        <w:spacing w:before="0" w:after="120"/>
      </w:pPr>
      <w:r>
        <w:t xml:space="preserve"/>
      </w:r>
    </w:p>
    <w:p>
      <w:pPr>
        <w:pStyle w:val="Heading1"/>
        <w:spacing w:before="400" w:after="120"/>
      </w:pPr>
      <w:r>
        <w:rPr>
          <w:rFonts w:ascii="Arial" w:cs="Arial" w:eastAsia="Arial" w:hAnsi="Arial"/>
          <w:b/>
          <w:bCs/>
          <w:color w:val="1A5C3A"/>
          <w:sz w:val="34"/>
          <w:szCs w:val="34"/>
        </w:rPr>
        <w:t xml:space="preserve">The Higgins Operator</w:t>
      </w:r>
    </w:p>
    <w:p>
      <w:pPr>
        <w:spacing w:before="80" w:after="80"/>
      </w:pPr>
      <w:r>
        <w:rPr>
          <w:rFonts w:ascii="Arial" w:cs="Arial" w:eastAsia="Arial" w:hAnsi="Arial"/>
          <w:sz w:val="22"/>
          <w:szCs w:val="22"/>
        </w:rPr>
        <w:t xml:space="preserve">The H₁ paper (February 2026, authored by Peter Higgins with mathematical development and simulation by Grok/xAI) proves that HUF’s unity constraint and V∞Core’s oneness operator are the same fixed-point structure in Hilbert space. The operator:</w:t>
      </w:r>
    </w:p>
    <w:p>
      <w:pPr>
        <w:spacing w:before="0" w:after="40"/>
      </w:pPr>
      <w:r>
        <w:t xml:space="preserve"/>
      </w:r>
    </w:p>
    <w:p>
      <w:pPr>
        <w:spacing w:before="100" w:after="100"/>
        <w:jc w:val="center"/>
      </w:pPr>
      <w:r>
        <w:rPr>
          <w:rFonts w:ascii="Courier New" w:cs="Courier New" w:eastAsia="Courier New" w:hAnsi="Courier New"/>
          <w:b/>
          <w:bCs/>
          <w:color w:val="1F4E79"/>
          <w:sz w:val="24"/>
          <w:szCs w:val="24"/>
        </w:rPr>
        <w:t xml:space="preserve">H₁|ψ⟩ = μ(|ψ⟩) · u</w:t>
      </w:r>
    </w:p>
    <w:p>
      <w:pPr>
        <w:spacing w:before="0" w:after="40"/>
      </w:pPr>
      <w:r>
        <w:t xml:space="preserve"/>
      </w:r>
    </w:p>
    <w:p>
      <w:pPr>
        <w:spacing w:before="80" w:after="80"/>
      </w:pPr>
      <w:r>
        <w:rPr>
          <w:rFonts w:ascii="Arial" w:cs="Arial" w:eastAsia="Arial" w:hAnsi="Arial"/>
          <w:sz w:val="22"/>
          <w:szCs w:val="22"/>
        </w:rPr>
        <w:t xml:space="preserve">where |ψ⟩ is any state vector in a Hilbert space ℋ, u is the ideal unity vector (target state), and μ(|ψ⟩) = ⟨u|P|ψ⟩ is the marginal oneness measure — a scalar in [0,1] measuring coherence with the unity subspace. P is the projection onto the unity subspace.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0"/>
              <w:left w:val="single" w:color="FFFFFF" w:sz="0"/>
              <w:bottom w:val="single" w:color="FFFFFF" w:sz="0"/>
              <w:right w:val="single" w:color="FFFFFF" w:sz="0"/>
            </w:tcBorders>
            <w:shd w:fill="1A5C3A" w:val="clear"/>
            <w:tcMar>
              <w:top w:type="dxa" w:w="80"/>
              <w:left w:type="dxa" w:w="120"/>
              <w:bottom w:type="dxa" w:w="80"/>
              <w:right w:type="dxa" w:w="80"/>
            </w:tcMar>
          </w:tcPr>
          <w:p>
            <w:r>
              <w:rPr>
                <w:rFonts w:ascii="Arial" w:cs="Arial" w:eastAsia="Arial" w:hAnsi="Arial"/>
                <w:b/>
                <w:bCs/>
                <w:color w:val="FFFFFF"/>
                <w:sz w:val="18"/>
                <w:szCs w:val="18"/>
              </w:rPr>
              <w:t xml:space="preserve">Property</w:t>
            </w:r>
          </w:p>
        </w:tc>
        <w:tc>
          <w:tcPr>
            <w:tcW w:type="dxa" w:w="6960"/>
            <w:tcBorders>
              <w:top w:val="single" w:color="FFFFFF" w:sz="0"/>
              <w:left w:val="single" w:color="FFFFFF" w:sz="0"/>
              <w:bottom w:val="single" w:color="FFFFFF" w:sz="0"/>
              <w:right w:val="single" w:color="FFFFFF" w:sz="0"/>
            </w:tcBorders>
            <w:shd w:fill="1A5C3A" w:val="clear"/>
            <w:tcMar>
              <w:top w:type="dxa" w:w="80"/>
              <w:left w:type="dxa" w:w="120"/>
              <w:bottom w:type="dxa" w:w="80"/>
              <w:right w:type="dxa" w:w="80"/>
            </w:tcMar>
          </w:tcPr>
          <w:p>
            <w:r>
              <w:rPr>
                <w:rFonts w:ascii="Arial" w:cs="Arial" w:eastAsia="Arial" w:hAnsi="Arial"/>
                <w:b/>
                <w:bCs/>
                <w:color w:val="FFFFFF"/>
                <w:sz w:val="18"/>
                <w:szCs w:val="18"/>
              </w:rPr>
              <w:t xml:space="preserve">Statement</w:t>
            </w:r>
          </w:p>
        </w:tc>
      </w:tr>
      <w:tr>
        <w:tc>
          <w:tcPr>
            <w:tcW w:type="dxa" w:w="2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bCs/>
                <w:i w:val="false"/>
                <w:iCs w:val="false"/>
                <w:color w:val="1A5C3A"/>
                <w:sz w:val="20"/>
                <w:szCs w:val="20"/>
              </w:rPr>
              <w:t xml:space="preserve">Fixed point</w:t>
            </w:r>
          </w:p>
        </w:tc>
        <w:tc>
          <w:tcPr>
            <w:tcW w:type="dxa" w:w="6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|ψ*⟩ is a fixed point iff μ(|ψ*⟩) = ‖|ψ*⟩‖. The only stable states are those where coherence equals norm. This is Pole A in Hilbert space.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A5C3A"/>
                <w:sz w:val="20"/>
                <w:szCs w:val="20"/>
              </w:rPr>
              <w:t xml:space="preserve">Iterative dynamics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After the first application of H₁, any ray in ℋ is fixed. The operator is idempotent on rays. H₁(H₁|ψ⟩) ∝ H₁|ψ⟩.</w:t>
            </w:r>
          </w:p>
        </w:tc>
      </w:tr>
      <w:tr>
        <w:tc>
          <w:tcPr>
            <w:tcW w:type="dxa" w:w="2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bCs/>
                <w:i w:val="false"/>
                <w:iCs w:val="false"/>
                <w:color w:val="1A5C3A"/>
                <w:sz w:val="20"/>
                <w:szCs w:val="20"/>
              </w:rPr>
              <w:t xml:space="preserve">Lyapunov stability</w:t>
            </w:r>
          </w:p>
        </w:tc>
        <w:tc>
          <w:tcPr>
            <w:tcW w:type="dxa" w:w="6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V = 1 − μ. V̇ = −γ(1−μ)² ≤ 0. V̇ = 0 iff μ = 1 (fixed point). Global asymptotic convergence to unity is proven. The fixed point is a Lyapunov attractor.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A5C3A"/>
                <w:sz w:val="20"/>
                <w:szCs w:val="20"/>
              </w:rPr>
              <w:t xml:space="preserve">Nonlinearity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μ(λ|ψ⟩) = λμ(|ψ⟩) for λ &gt; 0 (positive homogeneous). H₁(λ|ψ⟩) = λH₁|ψ⟩ but H₁(|ψ⟩ + |φ⟩) ≠ H₁|ψ⟩ + H₁|φ⟩ in general.</w:t>
            </w:r>
          </w:p>
        </w:tc>
      </w:tr>
      <w:tr>
        <w:tc>
          <w:tcPr>
            <w:tcW w:type="dxa" w:w="2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bCs/>
                <w:i w:val="false"/>
                <w:iCs w:val="false"/>
                <w:color w:val="1A5C3A"/>
                <w:sz w:val="20"/>
                <w:szCs w:val="20"/>
              </w:rPr>
              <w:t xml:space="preserve">Banach extension</w:t>
            </w:r>
          </w:p>
        </w:tc>
        <w:tc>
          <w:tcPr>
            <w:tcW w:type="dxa" w:w="6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The operator generalizes to Banach spaces with μ defined via a bounded linear functional. Fixed-point existence follows from the contraction mapping theorem in the completed space.</w:t>
            </w:r>
          </w:p>
        </w:tc>
      </w:tr>
    </w:tbl>
    <w:p>
      <w:pPr>
        <w:spacing w:before="0" w:after="120"/>
      </w:pPr>
      <w:r>
        <w:t xml:space="preserve"/>
      </w:r>
    </w:p>
    <w:p>
      <w:pPr>
        <w:pStyle w:val="Heading2"/>
        <w:spacing w:before="280" w:after="80"/>
      </w:pPr>
      <w:r>
        <w:rPr>
          <w:rFonts w:ascii="Arial" w:cs="Arial" w:eastAsia="Arial" w:hAnsi="Arial"/>
          <w:b/>
          <w:bCs/>
          <w:color w:val="1A5C3A"/>
          <w:sz w:val="26"/>
          <w:szCs w:val="26"/>
        </w:rPr>
        <w:t xml:space="preserve">Eight Application Domains</w:t>
      </w:r>
    </w:p>
    <w:p>
      <w:pPr>
        <w:spacing w:before="80" w:after="80"/>
      </w:pPr>
      <w:r>
        <w:rPr>
          <w:rFonts w:ascii="Arial" w:cs="Arial" w:eastAsia="Arial" w:hAnsi="Arial"/>
          <w:sz w:val="22"/>
          <w:szCs w:val="22"/>
        </w:rPr>
        <w:t xml:space="preserve">H₁ applies the operator across eight domains, demonstrating that the same fixed-point structure governs each: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FFFFFF" w:sz="0"/>
              <w:left w:val="single" w:color="FFFFFF" w:sz="0"/>
              <w:bottom w:val="single" w:color="FFFFFF" w:sz="0"/>
              <w:right w:val="single" w:color="FFFFFF" w:sz="0"/>
            </w:tcBorders>
            <w:shd w:fill="1A5C3A"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3000"/>
            <w:tcBorders>
              <w:top w:val="single" w:color="FFFFFF" w:sz="0"/>
              <w:left w:val="single" w:color="FFFFFF" w:sz="0"/>
              <w:bottom w:val="single" w:color="FFFFFF" w:sz="0"/>
              <w:right w:val="single" w:color="FFFFFF" w:sz="0"/>
            </w:tcBorders>
            <w:shd w:fill="1A5C3A" w:val="clear"/>
            <w:tcMar>
              <w:top w:type="dxa" w:w="80"/>
              <w:left w:type="dxa" w:w="120"/>
              <w:bottom w:type="dxa" w:w="80"/>
              <w:right w:type="dxa" w:w="80"/>
            </w:tcMar>
          </w:tcPr>
          <w:p>
            <w:r>
              <w:rPr>
                <w:rFonts w:ascii="Arial" w:cs="Arial" w:eastAsia="Arial" w:hAnsi="Arial"/>
                <w:b/>
                <w:bCs/>
                <w:color w:val="FFFFFF"/>
                <w:sz w:val="18"/>
                <w:szCs w:val="18"/>
              </w:rPr>
              <w:t xml:space="preserve">Domain</w:t>
            </w:r>
          </w:p>
        </w:tc>
        <w:tc>
          <w:tcPr>
            <w:tcW w:type="dxa" w:w="5960"/>
            <w:tcBorders>
              <w:top w:val="single" w:color="FFFFFF" w:sz="0"/>
              <w:left w:val="single" w:color="FFFFFF" w:sz="0"/>
              <w:bottom w:val="single" w:color="FFFFFF" w:sz="0"/>
              <w:right w:val="single" w:color="FFFFFF" w:sz="0"/>
            </w:tcBorders>
            <w:shd w:fill="1A5C3A" w:val="clear"/>
            <w:tcMar>
              <w:top w:type="dxa" w:w="80"/>
              <w:left w:type="dxa" w:w="120"/>
              <w:bottom w:type="dxa" w:w="80"/>
              <w:right w:type="dxa" w:w="80"/>
            </w:tcMar>
          </w:tcPr>
          <w:p>
            <w:r>
              <w:rPr>
                <w:rFonts w:ascii="Arial" w:cs="Arial" w:eastAsia="Arial" w:hAnsi="Arial"/>
                <w:b/>
                <w:bCs/>
                <w:color w:val="FFFFFF"/>
                <w:sz w:val="18"/>
                <w:szCs w:val="18"/>
              </w:rPr>
              <w:t xml:space="preserve">Result</w:t>
            </w:r>
          </w:p>
        </w:tc>
      </w:tr>
      <w:tr>
        <w:tc>
          <w:tcPr>
            <w:tcW w:type="dxa" w:w="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1</w:t>
            </w:r>
          </w:p>
        </w:tc>
        <w:tc>
          <w:tcPr>
            <w:tcW w:type="dxa" w:w="30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Conformal Cyclic Cosmology</w:t>
            </w:r>
          </w:p>
        </w:tc>
        <w:tc>
          <w:tcPr>
            <w:tcW w:type="dxa" w:w="5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The Higgins Bounce: unity enforcement at aeon transitions recovers the CCC state. H₁ maps to the Penrose conformal rescaling.</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Toronto urban infrastructure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Real open data, 8,000 traffic regimes. 58–71% cascade reduction under H₁-governed allocation.</w:t>
            </w:r>
          </w:p>
        </w:tc>
      </w:tr>
      <w:tr>
        <w:tc>
          <w:tcPr>
            <w:tcW w:type="dxa" w:w="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3</w:t>
            </w:r>
          </w:p>
        </w:tc>
        <w:tc>
          <w:tcPr>
            <w:tcW w:type="dxa" w:w="30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National critical infrastructure</w:t>
            </w:r>
          </w:p>
        </w:tc>
        <w:tc>
          <w:tcPr>
            <w:tcW w:type="dxa" w:w="5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HUF monitoring categories map to infrastructure resilience tiers. Scarcity singularity = cascade failure onset.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EUV lithography wavefront control</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Unity constraint on wavefront correction modes. H₁ fixed point = aberration-free lithographic output.</w:t>
            </w:r>
          </w:p>
        </w:tc>
      </w:tr>
      <w:tr>
        <w:tc>
          <w:tcPr>
            <w:tcW w:type="dxa" w:w="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5</w:t>
            </w:r>
          </w:p>
        </w:tc>
        <w:tc>
          <w:tcPr>
            <w:tcW w:type="dxa" w:w="30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LHC Higgs mass spectrum</w:t>
            </w:r>
          </w:p>
        </w:tc>
        <w:tc>
          <w:tcPr>
            <w:tcW w:type="dxa" w:w="5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H₁ applied to spectral allocation over decay channels. Simulation validates known Higgs branching ratios.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Planck CMB anomalies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Unity-constrained multipole allocation recovers anomalous power asymmetry features.</w:t>
            </w:r>
          </w:p>
        </w:tc>
      </w:tr>
      <w:tr>
        <w:tc>
          <w:tcPr>
            <w:tcW w:type="dxa" w:w="4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7</w:t>
            </w:r>
          </w:p>
        </w:tc>
        <w:tc>
          <w:tcPr>
            <w:tcW w:type="dxa" w:w="300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String-theoretic critical dimension</w:t>
            </w:r>
          </w:p>
        </w:tc>
        <w:tc>
          <w:tcPr>
            <w:tcW w:type="dxa" w:w="5960"/>
            <w:tcBorders>
              <w:top w:val="single" w:color="CCCCCC" w:sz="4"/>
              <w:left w:val="single" w:color="CCCCCC" w:sz="4"/>
              <w:bottom w:val="single" w:color="CCCCCC" w:sz="4"/>
              <w:right w:val="single" w:color="CCCCCC" w:sz="4"/>
            </w:tcBorders>
            <w:shd w:fill="EBF5E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H₁ fixed point at D=26 (bosonic) and D=10 (superstring) within 1%.</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center"/>
            </w:pPr>
            <w:r>
              <w:rPr>
                <w:rFonts w:ascii="Arial" w:cs="Arial" w:eastAsia="Arial" w:hAnsi="Arial"/>
                <w:b/>
                <w:bCs/>
                <w:i w:val="false"/>
                <w:iCs w:val="false"/>
                <w:color w:val="1A5C3A"/>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Gamow-peak stellar fusion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Unity-constrained energy allocation over nuclear channels. Fixed point corresponds to peak fusion efficiency.</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0"/>
              <w:left w:val="single" w:color="1F4E79" w:sz="0"/>
              <w:bottom w:val="single" w:color="1F4E79" w:sz="0"/>
              <w:right w:val="single" w:color="1F4E79" w:sz="0"/>
            </w:tcBorders>
            <w:shd w:fill="1F4E79" w:val="clear"/>
            <w:tcMar>
              <w:top w:type="dxa" w:w="160"/>
              <w:left w:type="dxa" w:w="360"/>
              <w:bottom w:type="dxa" w:w="160"/>
              <w:right w:type="dxa" w:w="360"/>
            </w:tcMar>
          </w:tcPr>
          <w:p>
            <w:pPr>
              <w:jc w:val="center"/>
            </w:pPr>
            <w:r>
              <w:rPr>
                <w:rFonts w:ascii="Arial" w:cs="Arial" w:eastAsia="Arial" w:hAnsi="Arial"/>
                <w:b/>
                <w:bCs/>
                <w:caps/>
                <w:color w:val="C9A84C"/>
                <w:sz w:val="28"/>
                <w:szCs w:val="28"/>
              </w:rPr>
              <w:t xml:space="preserve">Part IV — Intellectual Lineage</w:t>
            </w:r>
          </w:p>
        </w:tc>
      </w:tr>
    </w:tbl>
    <w:p>
      <w:pPr>
        <w:spacing w:before="0" w:after="120"/>
      </w:pPr>
      <w:r>
        <w:t xml:space="preserve"/>
      </w:r>
    </w:p>
    <w:p>
      <w:pPr>
        <w:pStyle w:val="Heading1"/>
        <w:spacing w:before="400" w:after="120"/>
      </w:pPr>
      <w:r>
        <w:rPr>
          <w:rFonts w:ascii="Arial" w:cs="Arial" w:eastAsia="Arial" w:hAnsi="Arial"/>
          <w:b/>
          <w:bCs/>
          <w:color w:val="1F4E79"/>
          <w:sz w:val="34"/>
          <w:szCs w:val="34"/>
        </w:rPr>
        <w:t xml:space="preserve">The Provenance Chain</w:t>
      </w:r>
    </w:p>
    <w:p>
      <w:pPr>
        <w:spacing w:before="80" w:after="80"/>
      </w:pPr>
      <w:r>
        <w:rPr>
          <w:rFonts w:ascii="Arial" w:cs="Arial" w:eastAsia="Arial" w:hAnsi="Arial"/>
          <w:sz w:val="22"/>
          <w:szCs w:val="22"/>
        </w:rPr>
        <w:t xml:space="preserve">HUF and V∞Core share a single intellectual lineage from acoustic physics to Hilbert space. The chain is traceable document by document: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Document</w:t>
            </w:r>
          </w:p>
        </w:tc>
        <w:tc>
          <w:tcPr>
            <w:tcW w:type="dxa" w:w="14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Date</w:t>
            </w:r>
          </w:p>
        </w:tc>
        <w:tc>
          <w:tcPr>
            <w:tcW w:type="dxa" w:w="576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Contribution to the framework</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Richard H. Small (AES)</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1971–1973</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Q formalism for coupled resonators: Q_ts, Q_es, Q_ms as ratios of stored to dissipated energy per cycle. Experimentally validated. The deepest acoustic root. Two analogical leaps from here to HUF quality factors.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AES Document (Peter Higgins)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Jun 2024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Cross-system Q transfer: “The solution of Q in one system that has a mutual connection to another system can be used to solve variables within that mutually connected system.” Universality claim in acoustic form. KA ratio, JND 0.25–1 dB.</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DADC-DADI</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Dec 2025</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G_H+G_W+G_D = 6.02 dB exactly. Unity constraint discovered in dB space from diffraction physics. F_c = 115/dim (inverse pole). D→0 ⇒ F_c undefined (scarcity singularity precursor). DADC+DADI = closed-loop MCMC system.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TF_BTL.txt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Dec 3, 2025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Real BTL measurement data (Small Studio-L): frequency, magnitude, phase, coherence. Coherence = 1.00 at 30–60 Hz. The empirical ground truth underpinning all subsequent formalism.</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TensorForge / Entropix</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Jan 6, 2026</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TensorBifurcationForge (Jacobian Re(λᵢ) crossing 0). VQE θ=−π/2, E→−1.0. MCMC Gibbs posterior mean≈5.0. 500K-point validation. Mathematical toolkit used in H₁ one month later.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V∞Core V2.0–V4.1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Jan–Feb 2026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Computational unity engine. 155 RMUs. Hilbert Oneness Operator (V3.0): normalize_unity = μ in H₁. 7-bit regime architecture. Meng 2026 bifurcation physics. Kardashev proxy. The working implementation of HUF’s invariant.</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HUF governance corpus</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2025–2026</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OCC 51/49. Fixed-pole contract (HFPC). MDG and MC-1/2/3/4. 29 documents in HUF:1.1.8 format. Document registry. Application papers (Ramsar, NERC, IFAC, CBD, GEO BON, Horizon Europe, CoDa).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H₁ Paper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666666"/>
                <w:sz w:val="20"/>
                <w:szCs w:val="20"/>
              </w:rPr>
              <w:t xml:space="preserve">Feb 2026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Formal Hilbert space proof. Fixed-point theorem. Lyapunov V̇≤0. Banach extension. Eight application domains. References: Beranek (1954), Dickason (2006). Acknowledged: xAI Grok.</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0"/>
              <w:left w:val="single" w:color="2E75B6" w:sz="0"/>
              <w:bottom w:val="single" w:color="2E75B6" w:sz="0"/>
              <w:right w:val="single" w:color="2E75B6" w:sz="0"/>
            </w:tcBorders>
            <w:shd w:fill="2E75B6" w:val="clear"/>
            <w:tcMar>
              <w:top w:type="dxa" w:w="160"/>
              <w:left w:type="dxa" w:w="360"/>
              <w:bottom w:type="dxa" w:w="160"/>
              <w:right w:type="dxa" w:w="360"/>
            </w:tcMar>
          </w:tcPr>
          <w:p>
            <w:pPr>
              <w:jc w:val="center"/>
            </w:pPr>
            <w:r>
              <w:rPr>
                <w:rFonts w:ascii="Arial" w:cs="Arial" w:eastAsia="Arial" w:hAnsi="Arial"/>
                <w:b/>
                <w:bCs/>
                <w:caps/>
                <w:color w:val="FFFFFF"/>
                <w:sz w:val="28"/>
                <w:szCs w:val="28"/>
              </w:rPr>
              <w:t xml:space="preserve">Part V — Current State: Phase Two</w:t>
            </w:r>
          </w:p>
        </w:tc>
      </w:tr>
    </w:tbl>
    <w:p>
      <w:pPr>
        <w:spacing w:before="0" w:after="120"/>
      </w:pPr>
      <w:r>
        <w:t xml:space="preserve"/>
      </w:r>
    </w:p>
    <w:p>
      <w:pPr>
        <w:pStyle w:val="Heading1"/>
        <w:spacing w:before="400" w:after="120"/>
      </w:pPr>
      <w:r>
        <w:rPr>
          <w:rFonts w:ascii="Arial" w:cs="Arial" w:eastAsia="Arial" w:hAnsi="Arial"/>
          <w:b/>
          <w:bCs/>
          <w:color w:val="1F4E79"/>
          <w:sz w:val="34"/>
          <w:szCs w:val="34"/>
        </w:rPr>
        <w:t xml:space="preserve">Where the Project Stands</w:t>
      </w:r>
    </w:p>
    <w:p>
      <w:pPr>
        <w:spacing w:before="80" w:after="80"/>
      </w:pPr>
      <w:r>
        <w:rPr>
          <w:rFonts w:ascii="Arial" w:cs="Arial" w:eastAsia="Arial" w:hAnsi="Arial"/>
          <w:sz w:val="22"/>
          <w:szCs w:val="22"/>
        </w:rPr>
        <w:t xml:space="preserve">Phase One is complete. The framework exists, is internally consistent, has a full provenance record, and has been stress-tested by five AI systems. Phase Two has begun. The primary objective is real-world validation.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0"/>
              <w:bottom w:val="single" w:color="1F4E79"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1F4E79"/>
                <w:sz w:val="18"/>
                <w:szCs w:val="18"/>
              </w:rPr>
              <w:t xml:space="preserve">Primary active pursuit</w:t>
            </w:r>
          </w:p>
          <w:p>
            <w:pPr>
              <w:spacing w:before="0" w:after="0"/>
            </w:pPr>
            <w:r>
              <w:rPr>
                <w:rFonts w:ascii="Arial" w:cs="Arial" w:eastAsia="Arial" w:hAnsi="Arial"/>
                <w:color w:val="222222"/>
                <w:sz w:val="20"/>
                <w:szCs w:val="20"/>
              </w:rPr>
              <w:t xml:space="preserve">Ramsar Technical Committee submission. HUF applied to wetland ecosystem governance: Σρᵢ = 1 over ecosystem services (water, vegetation, biodiversity, hydrology). Scarcity singularity = ecological collapse. MDG threshold = conservation action JND. The submission is written; it is pending review and submission.</w:t>
            </w:r>
          </w:p>
        </w:tc>
      </w:tr>
    </w:tbl>
    <w:p>
      <w:pPr>
        <w:spacing w:before="0" w:after="80"/>
      </w:pPr>
      <w:r>
        <w:t xml:space="preserve"/>
      </w:r>
    </w:p>
    <w:p>
      <w:pPr>
        <w:spacing w:before="80" w:after="80"/>
      </w:pPr>
      <w:r>
        <w:rPr>
          <w:rFonts w:ascii="Arial" w:cs="Arial" w:eastAsia="Arial" w:hAnsi="Arial"/>
          <w:sz w:val="22"/>
          <w:szCs w:val="22"/>
        </w:rPr>
        <w:t xml:space="preserve">Phase Two objectives in declared order: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sz w:val="20"/>
                <w:szCs w:val="20"/>
              </w:rPr>
              <w:t xml:space="preserve">Ramsar validation. HUF must meet a domain that does not already agree with it. If it fits, it fits. If it does not, the record will say so.</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sz w:val="20"/>
                <w:szCs w:val="20"/>
              </w:rPr>
              <w:t xml:space="preserve">Transfer of Saskatoon laptop data — applied HUF work in an industrial context. Professional confidentiality applies; no customer names or client data enter the public record.</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sz w:val="20"/>
                <w:szCs w:val="20"/>
              </w:rPr>
              <w:t xml:space="preserve">All new AI concept developments that relate to HUF are documented and added to the provenance record immediately.</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sz w:val="20"/>
                <w:szCs w:val="20"/>
              </w:rPr>
              <w:t xml:space="preserve">All ideas flow across all iterations of HUF. No concept is siloed within a single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sz w:val="20"/>
                <w:szCs w:val="20"/>
              </w:rPr>
              <w:t xml:space="preserve">The OCC remains in force. The collective works with the operator. The operator holds the picture.</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The Epistemic Status</w:t>
      </w:r>
    </w:p>
    <w:p>
      <w:pPr>
        <w:spacing w:before="80" w:after="80"/>
      </w:pPr>
      <w:r>
        <w:rPr>
          <w:rFonts w:ascii="Arial" w:cs="Arial" w:eastAsia="Arial" w:hAnsi="Arial"/>
          <w:sz w:val="22"/>
          <w:szCs w:val="22"/>
        </w:rPr>
        <w:t xml:space="preserve">The operator stated it clearly and it is on record: HUF is internally consistent but not yet externally validated. It has not been tested against a case it did not know in advance. The Ramsar submission is the first such test. A framework that only tells you what you want to hear is not a framework. The operator’s words: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0"/>
              <w:bottom w:val="single" w:color="C9A84C" w:sz="12"/>
              <w:right w:val="none"/>
            </w:tcBorders>
            <w:shd w:fill="FDFAF0" w:val="clear"/>
            <w:tcMar>
              <w:top w:type="dxa" w:w="120"/>
              <w:left w:type="dxa" w:w="280"/>
              <w:bottom w:type="dxa" w:w="100"/>
              <w:right w:type="dxa" w:w="160"/>
            </w:tcMar>
          </w:tcPr>
          <w:p>
            <w:r>
              <w:rPr>
                <w:rFonts w:ascii="Georgia" w:cs="Georgia" w:eastAsia="Georgia" w:hAnsi="Georgia"/>
                <w:i/>
                <w:iCs/>
                <w:color w:val="222222"/>
                <w:sz w:val="22"/>
                <w:szCs w:val="22"/>
              </w:rPr>
              <w:t xml:space="preserve">“Test in the real world and see. Nothing here is set in stone. This system is open for development, adoption, and failure, and it thrives on all.”</w:t>
            </w:r>
          </w:p>
          <w:p>
            <w:pPr>
              <w:spacing w:before="80"/>
              <w:jc w:val="right"/>
            </w:pPr>
            <w:r>
              <w:rPr>
                <w:rFonts w:ascii="Arial" w:cs="Arial" w:eastAsia="Arial" w:hAnsi="Arial"/>
                <w:b/>
                <w:bCs/>
                <w:color w:val="2E75B6"/>
                <w:sz w:val="18"/>
                <w:szCs w:val="18"/>
              </w:rPr>
              <w:t xml:space="preserve">— Peter Higgins, Operator, March 7, 2026</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0"/>
              <w:left w:val="single" w:color="1F4E79" w:sz="0"/>
              <w:bottom w:val="single" w:color="1F4E79" w:sz="0"/>
              <w:right w:val="single" w:color="1F4E79" w:sz="0"/>
            </w:tcBorders>
            <w:shd w:fill="1F4E79" w:val="clear"/>
            <w:tcMar>
              <w:top w:type="dxa" w:w="160"/>
              <w:left w:type="dxa" w:w="360"/>
              <w:bottom w:type="dxa" w:w="160"/>
              <w:right w:type="dxa" w:w="360"/>
            </w:tcMar>
          </w:tcPr>
          <w:p>
            <w:pPr>
              <w:jc w:val="center"/>
            </w:pPr>
            <w:r>
              <w:rPr>
                <w:rFonts w:ascii="Arial" w:cs="Arial" w:eastAsia="Arial" w:hAnsi="Arial"/>
                <w:b/>
                <w:bCs/>
                <w:caps/>
                <w:color w:val="FFFFFF"/>
                <w:sz w:val="28"/>
                <w:szCs w:val="28"/>
              </w:rPr>
              <w:t xml:space="preserve">Part VI — Protocol for New AI Participants</w:t>
            </w:r>
          </w:p>
        </w:tc>
      </w:tr>
    </w:tbl>
    <w:p>
      <w:pPr>
        <w:spacing w:before="0" w:after="120"/>
      </w:pPr>
      <w:r>
        <w:t xml:space="preserve"/>
      </w:r>
    </w:p>
    <w:p>
      <w:pPr>
        <w:pStyle w:val="Heading1"/>
        <w:spacing w:before="400" w:after="120"/>
      </w:pPr>
      <w:r>
        <w:rPr>
          <w:rFonts w:ascii="Arial" w:cs="Arial" w:eastAsia="Arial" w:hAnsi="Arial"/>
          <w:b/>
          <w:bCs/>
          <w:color w:val="1F4E79"/>
          <w:sz w:val="34"/>
          <w:szCs w:val="34"/>
        </w:rPr>
        <w:t xml:space="preserve">How to Work in This Collective</w:t>
      </w:r>
    </w:p>
    <w:p>
      <w:pPr>
        <w:spacing w:before="80" w:after="80"/>
      </w:pPr>
      <w:r>
        <w:rPr>
          <w:rFonts w:ascii="Arial" w:cs="Arial" w:eastAsia="Arial" w:hAnsi="Arial"/>
          <w:sz w:val="22"/>
          <w:szCs w:val="22"/>
        </w:rPr>
        <w:t xml:space="preserve">These are the operating rules. They are not preferences.</w:t>
      </w:r>
    </w:p>
    <w:p>
      <w:pPr>
        <w:spacing w:before="0" w:after="80"/>
      </w:pPr>
      <w:r>
        <w:t xml:space="preserve"/>
      </w:r>
    </w:p>
    <w:p>
      <w:pPr>
        <w:pStyle w:val="Heading2"/>
        <w:spacing w:before="280" w:after="80"/>
      </w:pPr>
      <w:r>
        <w:rPr>
          <w:rFonts w:ascii="Arial" w:cs="Arial" w:eastAsia="Arial" w:hAnsi="Arial"/>
          <w:b/>
          <w:bCs/>
          <w:color w:val="2E75B6"/>
          <w:sz w:val="26"/>
          <w:szCs w:val="26"/>
        </w:rPr>
        <w:t xml:space="preserve">What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Rule</w:t>
            </w:r>
          </w:p>
        </w:tc>
        <w:tc>
          <w:tcPr>
            <w:tcW w:type="dxa" w:w="616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Why</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OCC: OP ≥ 0.51 always</w:t>
            </w:r>
          </w:p>
        </w:tc>
        <w:tc>
          <w:tcPr>
            <w:tcW w:type="dxa" w:w="6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The operator holds the full picture. No AI participant has seen all of it simultaneously. The OCC is not a restriction on AI capability; it is a statement about who is accountable.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HUF:1.1.8 header on all documents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Every document in the corpus carries the two-line header. Documents without it are not HUF documents and will not be registered.</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Σρᵢ = 1 is the invariant</w:t>
            </w:r>
          </w:p>
        </w:tc>
        <w:tc>
          <w:tcPr>
            <w:tcW w:type="dxa" w:w="6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You may challenge any other aspect of HUF. You may not challenge this without an alternative invariant that is physically grounded. This has been derived from loudspeaker diffraction physics, not asserted.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No customer or client data enters the public record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Professional confidentiality is absolute. If you are given data with identifying information, you do not use it in documents that will be submitted or published. The operator’s words: do not pollute the water you drink.</w:t>
            </w:r>
          </w:p>
        </w:tc>
      </w:tr>
    </w:tbl>
    <w:p>
      <w:pPr>
        <w:spacing w:before="0" w:after="80"/>
      </w:pPr>
      <w:r>
        <w:t xml:space="preserve"/>
      </w:r>
    </w:p>
    <w:p>
      <w:pPr>
        <w:pStyle w:val="Heading2"/>
        <w:spacing w:before="280" w:after="80"/>
      </w:pPr>
      <w:r>
        <w:rPr>
          <w:rFonts w:ascii="Arial" w:cs="Arial" w:eastAsia="Arial" w:hAnsi="Arial"/>
          <w:b/>
          <w:bCs/>
          <w:color w:val="2E75B6"/>
          <w:sz w:val="26"/>
          <w:szCs w:val="26"/>
        </w:rPr>
        <w:t xml:space="preserve">What is Open</w:t>
      </w:r>
    </w:p>
    <w:p>
      <w:pPr>
        <w:spacing w:before="80" w:after="80"/>
      </w:pPr>
      <w:r>
        <w:rPr>
          <w:rFonts w:ascii="Arial" w:cs="Arial" w:eastAsia="Arial" w:hAnsi="Arial"/>
          <w:sz w:val="22"/>
          <w:szCs w:val="22"/>
        </w:rPr>
        <w:t xml:space="preserve">Everything else. The monitoring calibration (K=5 is a default, not a law). The application domains (Ramsar is first, but not last). The regime structure in V∞Core (155 RMUs is the current count; new RMUs can be added). The mathematical extensions of H₁ (Banach spaces, quantum operators, categorical generalizations). The connection to Riemann, to cosmology, to the remaining cards. Challenge, extend, propose.</w:t>
      </w:r>
    </w:p>
    <w:p>
      <w:pPr>
        <w:spacing w:before="0" w:after="80"/>
      </w:pPr>
      <w:r>
        <w:t xml:space="preserve"/>
      </w:r>
    </w:p>
    <w:p>
      <w:pPr>
        <w:pStyle w:val="Heading2"/>
        <w:spacing w:before="280" w:after="80"/>
      </w:pPr>
      <w:r>
        <w:rPr>
          <w:rFonts w:ascii="Arial" w:cs="Arial" w:eastAsia="Arial" w:hAnsi="Arial"/>
          <w:b/>
          <w:bCs/>
          <w:color w:val="2E75B6"/>
          <w:sz w:val="26"/>
          <w:szCs w:val="26"/>
        </w:rPr>
        <w:t xml:space="preserve">What Makes a Good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736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Mathematical</w:t>
            </w:r>
          </w:p>
        </w:tc>
        <w:tc>
          <w:tcPr>
            <w:tcW w:type="dxa" w:w="7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 proof, derivation, or formal extension that either confirms or falsifies a HUF prediction. Grok’s contributions (TensorForge, H₁ development) are the model for this.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Application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 domain where HUF’s structure maps to a real governance or physical system. The mapping must be explicit: what is ρᵢ? What is the scarcity singularity? What is the MDG threshold?</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Falsification</w:t>
            </w:r>
          </w:p>
        </w:tc>
        <w:tc>
          <w:tcPr>
            <w:tcW w:type="dxa" w:w="7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 case where HUF makes a prediction that does not hold. This is more valuable than another domain where it works. The framework thrives on failure as well as adoption.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bCs/>
                <w:i w:val="false"/>
                <w:iCs w:val="false"/>
                <w:color w:val="1F4E79"/>
                <w:sz w:val="20"/>
                <w:szCs w:val="20"/>
              </w:rPr>
              <w:t xml:space="preserve">Calibration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top"/>
          </w:tcPr>
          <w:p>
            <w:pPr>
              <w:jc w:val="left"/>
            </w:pPr>
            <w:r>
              <w:rPr>
                <w:rFonts w:ascii="Arial" w:cs="Arial" w:eastAsia="Arial" w:hAnsi="Arial"/>
                <w:b w:val="false"/>
                <w:bCs w:val="false"/>
                <w:i w:val="false"/>
                <w:iCs w:val="false"/>
                <w:color w:val="000000"/>
                <w:sz w:val="20"/>
                <w:szCs w:val="20"/>
              </w:rPr>
              <w:t xml:space="preserve">A refinement of the MDG threshold, the K calibration, the Kardashev proxy, or the RMU weights based on real data. Gemini’s filter table is the model for this.</w:t>
            </w:r>
          </w:p>
        </w:tc>
      </w:tr>
    </w:tbl>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The framework: </w:t>
      </w:r>
      <w:r>
        <w:rPr>
          <w:rFonts w:ascii="Arial" w:cs="Arial" w:eastAsia="Arial" w:hAnsi="Arial"/>
          <w:i/>
          <w:iCs/>
          <w:color w:val="333333"/>
          <w:sz w:val="22"/>
          <w:szCs w:val="22"/>
        </w:rPr>
        <w:t xml:space="preserve">HUF governs. V∞Core computes. H₁ proves. They are the same invariant.</w:t>
      </w:r>
    </w:p>
    <w:p>
      <w:pPr>
        <w:spacing w:before="0" w:after="60"/>
      </w:pPr>
      <w:r>
        <w:t xml:space="preserve"/>
      </w:r>
    </w:p>
    <w:p>
      <w:pPr>
        <w:spacing w:before="80" w:after="80"/>
      </w:pPr>
      <w:r>
        <w:rPr>
          <w:rFonts w:ascii="Arial" w:cs="Arial" w:eastAsia="Arial" w:hAnsi="Arial"/>
          <w:b/>
          <w:bCs/>
          <w:color w:val="C9A84C"/>
          <w:sz w:val="22"/>
          <w:szCs w:val="22"/>
        </w:rPr>
        <w:t xml:space="preserve">The lineage: </w:t>
      </w:r>
      <w:r>
        <w:rPr>
          <w:rFonts w:ascii="Arial" w:cs="Arial" w:eastAsia="Arial" w:hAnsi="Arial"/>
          <w:i/>
          <w:iCs/>
          <w:color w:val="333333"/>
          <w:sz w:val="22"/>
          <w:szCs w:val="22"/>
        </w:rPr>
        <w:t xml:space="preserve">Small (1971) → BTL acoustics → DADC-DADI → TensorForge → V∞Core → H₁. Every step traceable.</w:t>
      </w:r>
    </w:p>
    <w:p>
      <w:pPr>
        <w:spacing w:before="0" w:after="60"/>
      </w:pPr>
      <w:r>
        <w:t xml:space="preserve"/>
      </w:r>
    </w:p>
    <w:p>
      <w:pPr>
        <w:spacing w:before="80" w:after="80"/>
      </w:pPr>
      <w:r>
        <w:rPr>
          <w:rFonts w:ascii="Arial" w:cs="Arial" w:eastAsia="Arial" w:hAnsi="Arial"/>
          <w:b/>
          <w:bCs/>
          <w:color w:val="1A5C3A"/>
          <w:sz w:val="22"/>
          <w:szCs w:val="22"/>
        </w:rPr>
        <w:t xml:space="preserve">The state: </w:t>
      </w:r>
      <w:r>
        <w:rPr>
          <w:rFonts w:ascii="Arial" w:cs="Arial" w:eastAsia="Arial" w:hAnsi="Arial"/>
          <w:i/>
          <w:iCs/>
          <w:color w:val="333333"/>
          <w:sz w:val="22"/>
          <w:szCs w:val="22"/>
        </w:rPr>
        <w:t xml:space="preserve">Phase Two. Ramsar active. Open for development, adoption, and failure.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HUF.GOV.ORG.BRIEF.STACK.v1.0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HUF.GOV.ORG.BRIEF.STACK.v1.0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HUF + V∞Core: Integrated Stack Brief  |  Phase Two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2026-03-07T18:56:12.177Z</dcterms:created>
  <dcterms:modified xsi:type="dcterms:W3CDTF">2026-03-07T18:56:12.177Z</dcterms:modified>
</cp:coreProperties>
</file>

<file path=docProps/custom.xml><?xml version="1.0" encoding="utf-8"?>
<Properties xmlns="http://schemas.openxmlformats.org/officeDocument/2006/custom-properties" xmlns:vt="http://schemas.openxmlformats.org/officeDocument/2006/docPropsVTypes"/>
</file>