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color w:val="666666"/>
          <w:sz w:val="15"/>
        </w:rPr>
        <w:t>HUF-DOC: HUF.DRAFT.PARTNER.PAGE.RAMSAR_TECHNICAL_COMMITTEE_SUBMISSION | HUF:1.1.8 | DOC:v1.0 | STATUS:draft | LANE:DRAFT | RO:Peter Higgins</w:t>
      </w:r>
    </w:p>
    <w:p>
      <w:pPr>
        <w:spacing w:after="0" w:before="0"/>
      </w:pPr>
      <w:r>
        <w:rPr>
          <w:rFonts w:ascii="Courier New" w:hAnsi="Courier New"/>
          <w:color w:val="666666"/>
          <w:sz w:val="15"/>
        </w:rPr>
        <w:t>CODES: huf, ramsar, technical committee, monitoring methodology, MC-4 | ART: CM, AS, TR, EB | EVID:E2 | POSTURE: OP | WEIGHTS: OP=0.80 TOOL=0.15 PEER=0.05 | CAP: OP_MIN=0.51 TOOL_MAX=0.49 | CANON:notes/current_documents/staged/HUF.DRAFT.PARTNER.PAGE.RAMSAR_TECHNICAL_COMMITTEE_SUBMISSION/</w:t>
      </w:r>
    </w:p>
    <w:p>
      <w:pPr>
        <w:spacing w:after="80"/>
      </w:pPr>
    </w:p>
    <w:p>
      <w:pPr>
        <w:spacing w:after="480"/>
      </w:pPr>
    </w:p>
    <w:p>
      <w:pPr>
        <w:spacing w:after="120"/>
        <w:jc w:val="left"/>
      </w:pPr>
      <w:r>
        <w:rPr>
          <w:b/>
          <w:color w:val="1F3964"/>
          <w:sz w:val="40"/>
        </w:rPr>
        <w:t>Proposal to the Ramsar Technical Committee:</w:t>
        <w:br/>
        <w:t>HUF Ratio State Monitoring as a Wetland Management Effectiveness Methodology</w:t>
      </w:r>
    </w:p>
    <w:p>
      <w:pPr>
        <w:spacing w:after="480"/>
      </w:pPr>
      <w:r>
        <w:rPr>
          <w:i/>
          <w:color w:val="1F7A8C"/>
          <w:sz w:val="26"/>
        </w:rPr>
        <w:t>Formal methodology submission for Technical Committee review</w:t>
      </w:r>
    </w:p>
    <w:tbl>
      <w:tblPr>
        <w:tblStyle w:val="TableGrid"/>
        <w:tblW w:type="auto" w:w="0"/>
        <w:tblLook w:firstColumn="1" w:firstRow="1" w:lastColumn="0" w:lastRow="0" w:noHBand="0" w:noVBand="1" w:val="04A0"/>
      </w:tblPr>
      <w:tblGrid>
        <w:gridCol w:w="4320"/>
        <w:gridCol w:w="4320"/>
      </w:tblGrid>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Submitted to</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Ramsar Convention on Wetlands — Technical Committee</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Document type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Methodology Submission</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Reference / Call</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Ramsar Technical Committee — monitoring methodology review track</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Author</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 Higgins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Affiliation</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Independent Research / Higgins Unity Framework Project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Contact</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peterhiggins2016@gmail.com</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Date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2 March 2026</w:t>
            </w:r>
          </w:p>
        </w:tc>
      </w:tr>
    </w:tbl>
    <w:p>
      <w:pPr>
        <w:spacing w:after="360"/>
      </w:pPr>
    </w:p>
    <w:p>
      <w:r>
        <w:br w:type="page"/>
      </w:r>
    </w:p>
    <w:p>
      <w:pPr>
        <w:pStyle w:val="Heading1"/>
        <w:spacing w:before="360" w:after="120"/>
      </w:pPr>
      <w:r>
        <w:rPr>
          <w:color w:val="1F3964"/>
          <w:sz w:val="30"/>
        </w:rPr>
        <w:t>Executive Summary</w:t>
      </w:r>
    </w:p>
    <w:p>
      <w:pPr>
        <w:spacing w:after="120"/>
      </w:pPr>
      <w:r>
        <w:t>This submission proposes the Higgins Unity Framework Ratio State Monitoring (HUF-RSM) methodology for consideration by the Ramsar Technical Committee as a standardisable approach to wetland management effectiveness monitoring. HUF-RSM addresses a structural gap in the current Ramsar monitoring framework: the absence of a methodology for tracking whether management resource allocation at Ramsar sites is proceeding according to declared plans, and for distinguishing deliberate management decisions from undetected drift.</w:t>
      </w:r>
    </w:p>
    <w:p>
      <w:pPr>
        <w:spacing w:after="120"/>
      </w:pPr>
      <w:r>
        <w:t>A working pilot at Crna Mlaka (Ramsar site #356, Croatia) demonstrates that the methodology can be applied retrospectively to existing management records without any additional field instrumentation. The methodology is consistent with Ramsar's Article 3.2 monitoring obligations and aligned with GEO BON Essential Biodiversity Variable frameworks.</w:t>
      </w:r>
    </w:p>
    <w:p>
      <w:pPr>
        <w:pStyle w:val="Heading1"/>
        <w:spacing w:before="360" w:after="120"/>
      </w:pPr>
      <w:r>
        <w:rPr>
          <w:color w:val="1F3964"/>
          <w:sz w:val="30"/>
        </w:rPr>
        <w:t>1. The Monitoring Gap in the Ramsar Framework</w:t>
      </w:r>
    </w:p>
    <w:p>
      <w:pPr>
        <w:spacing w:after="120"/>
      </w:pPr>
      <w:r>
        <w:t>The Ramsar framework currently requires monitoring of wetland ecological character (Article 3.2), with Contracting Parties reporting on species, habitats, ecosystem services, and hydrological condition. These are ecological state indicators: they measure what is happening in the ecosystem.</w:t>
      </w:r>
    </w:p>
    <w:p>
      <w:pPr>
        <w:spacing w:after="120"/>
      </w:pPr>
      <w:r>
        <w:t>They do not measure whether the management decisions made by site managers are being implemented as intended. A site could report stable ecological state while experiencing significant undetected changes in management resource allocation — for example, restoration effort drifting silently away from high-priority habitat zones due to staff turnover, budget pressure, or administrative reorganisation. Equally, a site might show apparently declining ecological indicators while management is correctly implementing an agreed adaptive management plan.</w:t>
      </w:r>
    </w:p>
    <w:p>
      <w:pPr>
        <w:spacing w:after="120"/>
      </w:pPr>
      <w:r>
        <w:t>HUF-RSM provides the missing layer: governance-level monitoring that tracks management intent, making the allocation of management resources a first-class observable alongside ecological state.</w:t>
      </w:r>
    </w:p>
    <w:p>
      <w:pPr>
        <w:pStyle w:val="Heading1"/>
        <w:spacing w:before="360" w:after="120"/>
      </w:pPr>
      <w:r>
        <w:rPr>
          <w:color w:val="1F3964"/>
          <w:sz w:val="30"/>
        </w:rPr>
        <w:t>2. The HUF-RSM Methodology</w:t>
      </w:r>
    </w:p>
    <w:p>
      <w:pPr>
        <w:pStyle w:val="Heading2"/>
        <w:spacing w:before="240" w:after="80"/>
      </w:pPr>
      <w:r>
        <w:rPr>
          <w:color w:val="1F7A8C"/>
          <w:sz w:val="26"/>
        </w:rPr>
        <w:t>2.1 Core concept: portfolio share</w:t>
      </w:r>
    </w:p>
    <w:p>
      <w:pPr>
        <w:spacing w:after="120"/>
      </w:pPr>
      <w:r>
        <w:t>For a Ramsar site managed as a portfolio of k habitat entities or management zones, the portfolio share ρᵢ of zone i at time t is its proportional allocation of total management resource (budget, restoration effort, staff time, or a composite index). The shares satisfy Σᵢ ρᵢ = 1 by construction — they are a composition.</w:t>
      </w:r>
    </w:p>
    <w:p>
      <w:pPr>
        <w:pStyle w:val="Heading2"/>
        <w:spacing w:before="240" w:after="80"/>
      </w:pPr>
      <w:r>
        <w:rPr>
          <w:color w:val="1F7A8C"/>
          <w:sz w:val="26"/>
        </w:rPr>
        <w:t>2.2 MC-4 Monitoring Protocol — step by step</w:t>
      </w:r>
    </w:p>
    <w:p>
      <w:pPr>
        <w:pStyle w:val="ListBullet"/>
        <w:spacing w:after="60"/>
      </w:pPr>
      <w:r>
        <w:rPr>
          <w:b/>
        </w:rPr>
        <w:t xml:space="preserve">Step 1: Establish baseline: </w:t>
      </w:r>
      <w:r>
        <w:t>Identify the k management zones or habitat entities to be monitored. Document each zone's resource allocation for the current governance period. Compute initial portfolio shares ρᵢ(0). This is the ground state declaration.</w:t>
      </w:r>
    </w:p>
    <w:p>
      <w:pPr>
        <w:pStyle w:val="ListBullet"/>
        <w:spacing w:after="60"/>
      </w:pPr>
      <w:r>
        <w:rPr>
          <w:b/>
        </w:rPr>
        <w:t xml:space="preserve">Step 2: Period-on-period comparison: </w:t>
      </w:r>
      <w:r>
        <w:t>At each subsequent governance period (annual or triennial), update resource allocation records and recompute ρᵢ(t). Compute the Mean Drift Gap: MDG = Σ|ρᵢ(t)−ρᵢ(t−1)|/k. If MDG exceeds the agreed alert threshold δ, proceed to Step 3.</w:t>
      </w:r>
    </w:p>
    <w:p>
      <w:pPr>
        <w:pStyle w:val="ListBullet"/>
        <w:spacing w:after="60"/>
      </w:pPr>
      <w:r>
        <w:rPr>
          <w:b/>
        </w:rPr>
        <w:t xml:space="preserve">Step 3: Provenance classification: </w:t>
      </w:r>
      <w:r>
        <w:t>For each share change above the alert threshold, determine provenance: (a) intentional — documented in the site management log as a deliberate decision; (b) silent — no management log entry. Intentional changes update the baseline with logged rationale. Silent changes trigger a formal review.</w:t>
      </w:r>
    </w:p>
    <w:p>
      <w:pPr>
        <w:pStyle w:val="ListBullet"/>
        <w:spacing w:after="60"/>
      </w:pPr>
      <w:r>
        <w:rPr>
          <w:b/>
        </w:rPr>
        <w:t xml:space="preserve">Step 4: Reporting: </w:t>
      </w:r>
      <w:r>
        <w:t>Generate a Ramsar-formatted management effectiveness report showing: current portfolio composition, MDG trajectory, intentional vs. silent event log, and zones at high leverage (small share, high influence).</w:t>
      </w:r>
    </w:p>
    <w:p>
      <w:pPr>
        <w:pStyle w:val="Heading2"/>
        <w:spacing w:before="240" w:after="80"/>
      </w:pPr>
      <w:r>
        <w:rPr>
          <w:color w:val="1F7A8C"/>
          <w:sz w:val="26"/>
        </w:rPr>
        <w:t>2.3 Operator control principle</w:t>
      </w:r>
    </w:p>
    <w:p>
      <w:pPr>
        <w:spacing w:after="120"/>
      </w:pPr>
      <w:r>
        <w:t>HUF-RSM applies the principle that the site management authority retains at least 51% governance weight in any portfolio rebalancing decision. Automated monitoring tools (including any future software implementation of HUF-RSM) cannot unilaterally recommend or implement share changes — they can only alert and advise. This is the HUF Operator Control Contract, formalising the human-in-the-loop principle for wetland governance.</w:t>
      </w:r>
    </w:p>
    <w:p>
      <w:pPr>
        <w:pStyle w:val="Heading1"/>
        <w:spacing w:before="360" w:after="120"/>
      </w:pPr>
      <w:r>
        <w:rPr>
          <w:color w:val="1F3964"/>
          <w:sz w:val="30"/>
        </w:rPr>
        <w:t>3. Croatia Pilot — Crna Mlaka</w:t>
      </w:r>
    </w:p>
    <w:p>
      <w:pPr>
        <w:spacing w:after="120"/>
      </w:pPr>
      <w:r>
        <w:t>Crna Mlaka fishpond complex (Ramsar site #356, 620 ha, NW Croatia) was selected as the primary HUF-RSM pilot. The site hosts internationally significant waterbird populations (IBA designation) and is managed by Croatian Waters (Hrvatske vode) in coordination with HAOP (Croatian Agency for Environment and Nature).</w:t>
      </w:r>
    </w:p>
    <w:p>
      <w:pPr>
        <w:pStyle w:val="Heading2"/>
        <w:spacing w:before="240" w:after="80"/>
      </w:pPr>
      <w:r>
        <w:rPr>
          <w:color w:val="1F7A8C"/>
          <w:sz w:val="26"/>
        </w:rPr>
        <w:t>3.1 Portfolio construction</w:t>
      </w:r>
    </w:p>
    <w:p>
      <w:pPr>
        <w:spacing w:after="120"/>
      </w:pPr>
      <w:r>
        <w:t>17 management zones were identified from the 2020 site management plan. Resource allocation shares were constructed from budget allocation records. Key finding: the core breeding zone (Zone 7, Crna Mlaka proper) carries ρ = 0.0091 (leverage L = 110) — a disproportionately small share for the most ecologically critical zone, flagging a potential governance imbalance for operator review.</w:t>
      </w:r>
    </w:p>
    <w:p>
      <w:pPr>
        <w:pStyle w:val="Heading2"/>
        <w:spacing w:before="240" w:after="80"/>
      </w:pPr>
      <w:r>
        <w:rPr>
          <w:color w:val="1F7A8C"/>
          <w:sz w:val="26"/>
        </w:rPr>
        <w:t>3.2 Monitoring results</w:t>
      </w:r>
    </w:p>
    <w:p>
      <w:pPr>
        <w:spacing w:after="120"/>
      </w:pPr>
      <w:r>
        <w:t>Retrospective MC-4 analysis (2020-2025) yielded MDG = 0.0034/year, below the proposed alert threshold. However, provenance analysis revealed two events classified in management records as 'intentional interventions' that lacked the required management log entries — reclassified as silent drift. No additional field measurement was required for this reclassification.</w:t>
      </w:r>
    </w:p>
    <w:p>
      <w:pPr>
        <w:pStyle w:val="Heading2"/>
        <w:spacing w:before="240" w:after="80"/>
      </w:pPr>
      <w:r>
        <w:rPr>
          <w:color w:val="1F7A8C"/>
          <w:sz w:val="26"/>
        </w:rPr>
        <w:t>3.3 Article 3.2 reporting</w:t>
      </w:r>
    </w:p>
    <w:p>
      <w:pPr>
        <w:spacing w:after="120"/>
      </w:pPr>
      <w:r>
        <w:t>A draft Article 3.2 notification was generated from the HUF-RSM output, covering the full required reporting structure in approximately 40% of the time required for previous manual preparation. The HUF portfolio trace provided complete documentation of management effectiveness in the governance-layer sense.</w:t>
      </w:r>
    </w:p>
    <w:p>
      <w:pPr>
        <w:pStyle w:val="Heading1"/>
        <w:spacing w:before="360" w:after="120"/>
      </w:pPr>
      <w:r>
        <w:rPr>
          <w:color w:val="1F3964"/>
          <w:sz w:val="30"/>
        </w:rPr>
        <w:t>4. Proposed Resolution and Next Steps</w:t>
      </w:r>
    </w:p>
    <w:p>
      <w:pPr>
        <w:spacing w:after="120"/>
      </w:pPr>
      <w:r>
        <w:t>We request that the Ramsar Technical Committee:</w:t>
      </w:r>
    </w:p>
    <w:p>
      <w:pPr>
        <w:pStyle w:val="ListBullet"/>
        <w:spacing w:after="60"/>
      </w:pPr>
      <w:r>
        <w:t>Accept this submission for formal technical review by the Scientific and Technical Review Panel (STRP).</w:t>
      </w:r>
    </w:p>
    <w:p>
      <w:pPr>
        <w:pStyle w:val="ListBullet"/>
        <w:spacing w:after="60"/>
      </w:pPr>
      <w:r>
        <w:t>Consider HUF-RSM for inclusion in the Ramsar Wise Use Handbooks as an optional methodology for management effectiveness assessment.</w:t>
      </w:r>
    </w:p>
    <w:p>
      <w:pPr>
        <w:pStyle w:val="ListBullet"/>
        <w:spacing w:after="60"/>
      </w:pPr>
      <w:r>
        <w:t>Facilitate introductions to at least three additional Contracting Party Ramsar focal points willing to participate in a multi-site validation study (proposed: one Atlantic, one Mediterranean, one Continental biogeographic region).</w:t>
      </w:r>
    </w:p>
    <w:p>
      <w:pPr>
        <w:pStyle w:val="ListBullet"/>
        <w:spacing w:after="60"/>
      </w:pPr>
      <w:r>
        <w:t>Coordinate with GEO BON on the EBV candidate submission process for HUF Portfolio Share (ρ).</w:t>
      </w:r>
    </w:p>
    <w:p>
      <w:pPr>
        <w:pStyle w:val="Heading1"/>
        <w:spacing w:before="360" w:after="120"/>
      </w:pPr>
      <w:r>
        <w:rPr>
          <w:color w:val="1F3964"/>
          <w:sz w:val="30"/>
        </w:rPr>
        <w:t>5. Supporting Materials</w:t>
      </w:r>
    </w:p>
    <w:p>
      <w:pPr>
        <w:spacing w:after="120"/>
      </w:pPr>
      <w:r>
        <w:t>Full technical documentation available on request from peterhiggins2016@gmail.com:</w:t>
      </w:r>
    </w:p>
    <w:p>
      <w:pPr>
        <w:pStyle w:val="ListBullet"/>
        <w:spacing w:after="60"/>
      </w:pPr>
      <w:r>
        <w:t>HUF Complete Reference (taxonomy, monitoring categories, mathematical foundations)</w:t>
      </w:r>
    </w:p>
    <w:p>
      <w:pPr>
        <w:pStyle w:val="ListBullet"/>
        <w:spacing w:after="60"/>
      </w:pPr>
      <w:r>
        <w:t>Croatia-Ramsar Pilot Package (complete site analysis, portfolio construction, MDG results)</w:t>
      </w:r>
    </w:p>
    <w:p>
      <w:pPr>
        <w:pStyle w:val="ListBullet"/>
        <w:spacing w:after="60"/>
      </w:pPr>
      <w:r>
        <w:t>Ramsar HUF Demo (Python implementation, reproducible computation)</w:t>
      </w:r>
    </w:p>
    <w:p>
      <w:pPr>
        <w:pStyle w:val="ListBullet"/>
        <w:spacing w:after="60"/>
      </w:pPr>
      <w:r>
        <w:t>HUF Operator Decision Log (governance decisions D1-D9, methodology development trace)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