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Higgins Unity Framework</w:t>
      </w:r>
    </w:p>
    <w:p>
      <w:pPr>
        <w:spacing w:after="80"/>
        <w:jc w:val="center"/>
      </w:pPr>
      <w:r>
        <w:rPr>
          <w:rFonts w:ascii="Arial" w:cs="Arial" w:eastAsia="Arial" w:hAnsi="Arial"/>
          <w:color w:val="4A6FA5"/>
          <w:sz w:val="36"/>
          <w:szCs w:val="36"/>
        </w:rPr>
        <w:t xml:space="preserve">Collective Closing Report</w:t>
      </w:r>
    </w:p>
    <w:p>
      <w:pPr>
        <w:spacing w:after="80"/>
        <w:jc w:val="center"/>
      </w:pPr>
      <w:r>
        <w:rPr>
          <w:rFonts w:ascii="Arial" w:cs="Arial" w:eastAsia="Arial" w:hAnsi="Arial"/>
          <w:color w:val="4A6FA5"/>
          <w:sz w:val="28"/>
          <w:szCs w:val="28"/>
        </w:rPr>
        <w:t xml:space="preserve">March 2026 Review Round</w:t>
      </w:r>
    </w:p>
    <w:p>
      <w:pPr>
        <w:pBdr>
          <w:bottom w:val="single" w:color="1B3A5C" w:sz="4" w:space="8"/>
        </w:pBdr>
        <w:spacing w:after="300"/>
        <w:jc w:val="center"/>
      </w:pPr>
      <w:r>
        <w:rPr>
          <w:rFonts w:ascii="Arial" w:cs="Arial" w:eastAsia="Arial" w:hAnsi="Arial"/>
          <w:color w:val="4A6FA5"/>
          <w:sz w:val="20"/>
          <w:szCs w:val="20"/>
        </w:rPr>
        <w:t xml:space="preserve">Directed by Peter Higgins  |  Prepared by Claude (Opus 4.6)  |  All Participants Assessed</w:t>
      </w:r>
    </w:p>
    <w:p>
      <w:pPr>
        <w:pStyle w:val="Heading1"/>
      </w:pPr>
      <w:r>
        <w:t xml:space="preserve">Status Summary</w:t>
      </w:r>
    </w:p>
    <w:p>
      <w:pPr>
        <w:spacing w:after="160" w:line="276"/>
      </w:pPr>
      <w:r>
        <w:rPr>
          <w:rFonts w:ascii="Arial" w:cs="Arial" w:eastAsia="Arial" w:hAnsi="Arial"/>
          <w:b/>
          <w:bCs/>
          <w:sz w:val="22"/>
          <w:szCs w:val="22"/>
        </w:rPr>
        <w:t xml:space="preserve">Calibration Rack: </w:t>
      </w:r>
      <w:r>
        <w:rPr>
          <w:rFonts w:ascii="Arial" w:cs="Arial" w:eastAsia="Arial" w:hAnsi="Arial"/>
          <w:sz w:val="22"/>
          <w:szCs w:val="22"/>
        </w:rPr>
        <w:t xml:space="preserve">v5.0 — 15 of 16 tests complete across 6 test types and 5 live domains.</w:t>
      </w:r>
    </w:p>
    <w:p>
      <w:pPr>
        <w:spacing w:after="160" w:line="276"/>
      </w:pPr>
      <w:r>
        <w:rPr>
          <w:rFonts w:ascii="Arial" w:cs="Arial" w:eastAsia="Arial" w:hAnsi="Arial"/>
          <w:b/>
          <w:bCs/>
          <w:sz w:val="22"/>
          <w:szCs w:val="22"/>
        </w:rPr>
        <w:t xml:space="preserve">Single remaining gap: </w:t>
      </w:r>
      <w:r>
        <w:rPr>
          <w:rFonts w:ascii="Arial" w:cs="Arial" w:eastAsia="Arial" w:hAnsi="Arial"/>
          <w:sz w:val="22"/>
          <w:szCs w:val="22"/>
        </w:rPr>
        <w:t xml:space="preserve">T1c BTL loudspeaker measurements (origin domain). Awaiting Peter’s physical execution per BTP-001 protocol.</w:t>
      </w:r>
    </w:p>
    <w:p>
      <w:pPr>
        <w:spacing w:after="160" w:line="276"/>
      </w:pPr>
      <w:r>
        <w:rPr>
          <w:rFonts w:ascii="Arial" w:cs="Arial" w:eastAsia="Arial" w:hAnsi="Arial"/>
          <w:b/>
          <w:bCs/>
          <w:sz w:val="22"/>
          <w:szCs w:val="22"/>
        </w:rPr>
        <w:t xml:space="preserve">Domains validated: </w:t>
      </w:r>
      <w:r>
        <w:rPr>
          <w:rFonts w:ascii="Arial" w:cs="Arial" w:eastAsia="Arial" w:hAnsi="Arial"/>
          <w:sz w:val="22"/>
          <w:szCs w:val="22"/>
        </w:rPr>
        <w:t xml:space="preserve">Backblaze (hard drive fleets), OWID (global energy), EMBER (electricity generation), Planck (satellite cryogenics), Finance (US equities).</w:t>
      </w:r>
    </w:p>
    <w:p>
      <w:pPr>
        <w:spacing w:after="160" w:line="276"/>
      </w:pPr>
      <w:r>
        <w:rPr>
          <w:rFonts w:ascii="Arial" w:cs="Arial" w:eastAsia="Arial" w:hAnsi="Arial"/>
          <w:b/>
          <w:bCs/>
          <w:sz w:val="22"/>
          <w:szCs w:val="22"/>
        </w:rPr>
        <w:t xml:space="preserve">Collective status: </w:t>
      </w:r>
      <w:r>
        <w:rPr>
          <w:rFonts w:ascii="Arial" w:cs="Arial" w:eastAsia="Arial" w:hAnsi="Arial"/>
          <w:sz w:val="22"/>
          <w:szCs w:val="22"/>
        </w:rPr>
        <w:t xml:space="preserve">A partially calibrated instrument with a credible validation rack. Not a finished universal framework. This is a stronger and more defensible position than grander claims.</w:t>
      </w:r>
    </w:p>
    <w:p>
      <w:pPr>
        <w:spacing w:after="120"/>
      </w:pPr>
    </w:p>
    <w:p>
      <w:pPr>
        <w:pStyle w:val="Heading1"/>
      </w:pPr>
      <w:r>
        <w:t xml:space="preserve">Calibration Rack v5.0</w:t>
      </w:r>
    </w:p>
    <w:p>
      <w:pPr>
        <w:spacing w:after="160" w:line="276"/>
      </w:pPr>
      <w:r>
        <w:rPr>
          <w:rFonts w:ascii="Arial" w:cs="Arial" w:eastAsia="Arial" w:hAnsi="Arial"/>
          <w:sz w:val="22"/>
          <w:szCs w:val="22"/>
        </w:rPr>
        <w:t xml:space="preserve">The rack organizes success, failure, and remaining gaps in a falsifiable way. Four of six types are fully complete. The remaining two types each have one partial test.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2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b/>
                <w:bCs/>
                <w:sz w:val="20"/>
                <w:szCs w:val="20"/>
              </w:rPr>
              <w:t xml:space="preserve">Type 1: Clear Carrier</w:t>
            </w:r>
          </w:p>
        </w:tc>
        <w:tc>
          <w:tcPr>
            <w:tcW w:type="dxa" w:w="1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3/4</w:t>
            </w:r>
          </w:p>
        </w:tc>
        <w:tc>
          <w:tcPr>
            <w:tcW w:type="dxa" w:w="1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T1c BTL</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Backblaze, OWID, EMBER done. BTL awaiting Peter.</w:t>
            </w:r>
          </w:p>
        </w:tc>
      </w:tr>
      <w:tr>
        <w:tc>
          <w:tcPr>
            <w:tcW w:type="dxa" w:w="2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sz w:val="20"/>
                <w:szCs w:val="20"/>
              </w:rPr>
              <w:t xml:space="preserve">Type 2: Stable System</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3/3</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Planck (revised), Backblaze Q1, EMBER Russia. All pass.</w:t>
            </w:r>
          </w:p>
        </w:tc>
      </w:tr>
      <w:tr>
        <w:tc>
          <w:tcPr>
            <w:tcW w:type="dxa" w:w="2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b/>
                <w:bCs/>
                <w:sz w:val="20"/>
                <w:szCs w:val="20"/>
              </w:rPr>
              <w:t xml:space="preserve">Type 3: Known Shock</w:t>
            </w:r>
          </w:p>
        </w:tc>
        <w:tc>
          <w:tcPr>
            <w:tcW w:type="dxa" w:w="1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T3b PARTIAL</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OWID COVID, EMBER Fukushima/Ukraine detected. Backblaze rotation partial.</w:t>
            </w:r>
          </w:p>
        </w:tc>
      </w:tr>
      <w:tr>
        <w:tc>
          <w:tcPr>
            <w:tcW w:type="dxa" w:w="2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sz w:val="20"/>
                <w:szCs w:val="20"/>
              </w:rPr>
              <w:t xml:space="preserve">Type 4: Identity</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T4a Backblaze model swap, T4b Finance sector rebalancing. Both confirm element-level resolution.</w:t>
            </w:r>
          </w:p>
        </w:tc>
      </w:tr>
      <w:tr>
        <w:tc>
          <w:tcPr>
            <w:tcW w:type="dxa" w:w="2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sz w:val="20"/>
                <w:szCs w:val="20"/>
              </w:rPr>
              <w:t xml:space="preserve">Type 5: Failure Separated</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Backblaze failure orthogonal to composition. OWID absolute/share boundary.</w:t>
            </w:r>
          </w:p>
        </w:tc>
      </w:tr>
      <w:tr>
        <w:tc>
          <w:tcPr>
            <w:tcW w:type="dxa" w:w="2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sz w:val="20"/>
                <w:szCs w:val="20"/>
              </w:rPr>
              <w:t xml:space="preserve">Type 6: Negative Control</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3/3</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White noise (Marchenko-Pastur), monopoly (K_eff=1.15), fake simplex (meaningless metrics).</w:t>
            </w:r>
          </w:p>
        </w:tc>
      </w:tr>
    </w:tbl>
    <w:p>
      <w:pPr>
        <w:spacing w:after="120"/>
      </w:pPr>
    </w:p>
    <w:p>
      <w:pPr>
        <w:pStyle w:val="Heading1"/>
      </w:pPr>
      <w:r>
        <w:t xml:space="preserve">Cross-Domain Structural Amplifier</w:t>
      </w:r>
    </w:p>
    <w:p>
      <w:pPr>
        <w:spacing w:after="160" w:line="276"/>
      </w:pPr>
      <w:r>
        <w:rPr>
          <w:rFonts w:ascii="Arial" w:cs="Arial" w:eastAsia="Arial" w:hAnsi="Arial"/>
          <w:sz w:val="22"/>
          <w:szCs w:val="22"/>
        </w:rPr>
        <w:t xml:space="preserve">The amplifier ranking aggregates three SF axes (forward compression, split-half stability, missing-data recovery) into a single structural coherence score per domain. All values verified against computed corpus. Grok produced the ranking; Claude verified every number.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760"/>
      </w:tblGrid>
      <w:tr>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Rank</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Forward R²</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Stability</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R²</w:t>
            </w:r>
          </w:p>
        </w:tc>
        <w:tc>
          <w:tcPr>
            <w:tcW w:type="dxa" w:w="1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f_rms</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Backblaze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0.9586</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0.978</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0.940</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0.959</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Finance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0.8349</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0.991</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0.945</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Planck</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0.9714</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0.989</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0.769</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0.915</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EMBER</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0.8706</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0.777</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0.867</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0.840</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OWID</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0.7724</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0.484</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n/c</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0.645</w:t>
            </w:r>
          </w:p>
        </w:tc>
      </w:tr>
    </w:tbl>
    <w:p>
      <w:pPr>
        <w:spacing w:after="120"/>
      </w:pPr>
    </w:p>
    <w:p>
      <w:pPr>
        <w:spacing w:after="160" w:line="276"/>
      </w:pPr>
      <w:r>
        <w:rPr>
          <w:rFonts w:ascii="Arial" w:cs="Arial" w:eastAsia="Arial" w:hAnsi="Arial"/>
          <w:sz w:val="22"/>
          <w:szCs w:val="22"/>
        </w:rPr>
        <w:t xml:space="preserve">Interpretation: Five domains, five distinct compression profiles. Backblaze has the strongest structural signal (2 dominant roots capturing 96% of variance). OWID has the weakest (4 roots at 77%, low stability from close eigenvalues). These differences are domain properties, not framework limitations.</w:t>
      </w:r>
    </w:p>
    <w:p>
      <w:pPr>
        <w:spacing w:after="120"/>
      </w:pPr>
    </w:p>
    <w:p>
      <w:pPr>
        <w:pStyle w:val="Heading1"/>
      </w:pPr>
      <w:r>
        <w:t xml:space="preserve">COVID Cross-Domain Differential</w:t>
      </w:r>
    </w:p>
    <w:p>
      <w:pPr>
        <w:spacing w:after="160" w:line="276"/>
      </w:pPr>
      <w:r>
        <w:rPr>
          <w:rFonts w:ascii="Arial" w:cs="Arial" w:eastAsia="Arial" w:hAnsi="Arial"/>
          <w:sz w:val="22"/>
          <w:szCs w:val="22"/>
        </w:rPr>
        <w:t xml:space="preserve">The same global shock produced two different structural signatures in two domains. In EMBER (electricity fuel mix), COVID reduced demand but preserved fuel ratios — TV spike at 1.4× monthly baseline, classified as NOT DETECTED. In Finance (sector weights), COVID caused genuine capital reallocation between sectors — TV spike at 3.7× monthly baseline, classified as DETECTED. Healthcare gained +3%, Energy lost -1.4%, Financials lost -1.4%.</w:t>
      </w:r>
    </w:p>
    <w:p>
      <w:pPr>
        <w:spacing w:after="160" w:line="276"/>
      </w:pPr>
      <w:r>
        <w:rPr>
          <w:rFonts w:ascii="Arial" w:cs="Arial" w:eastAsia="Arial" w:hAnsi="Arial"/>
          <w:sz w:val="22"/>
          <w:szCs w:val="22"/>
        </w:rPr>
        <w:t xml:space="preserve">This is arguably HUF’s most elegant result: the instrument is domain-agnostic (same math, same thresholds) but domain-sensitive (reads the actual structural signature, not just the headline event).</w:t>
      </w:r>
    </w:p>
    <w:p>
      <w:pPr>
        <w:spacing w:after="120"/>
      </w:pPr>
    </w:p>
    <w:p>
      <w:pPr>
        <w:pStyle w:val="Heading1"/>
      </w:pPr>
      <w:r>
        <w:t xml:space="preserve">Key Advances This Round</w:t>
      </w:r>
    </w:p>
    <w:p>
      <w:pPr>
        <w:pStyle w:val="Heading2"/>
      </w:pPr>
      <w:r>
        <w:t xml:space="preserve">Planck Carrier Revision (T2a)</w:t>
      </w:r>
    </w:p>
    <w:p>
      <w:pPr>
        <w:spacing w:after="160" w:line="276"/>
      </w:pPr>
      <w:r>
        <w:rPr>
          <w:rFonts w:ascii="Arial" w:cs="Arial" w:eastAsia="Arial" w:hAnsi="Arial"/>
          <w:sz w:val="22"/>
          <w:szCs w:val="22"/>
        </w:rPr>
        <w:t xml:space="preserve">Excluding TC1 and TC3 as radiation monitors (MeV particle detectors, not temperature sensors) reduced mean Total Variation by 52% and exposed genuine multi-subsystem thermal dynamics across three mission phases. This proved the carrier definition is the first-order validation gate: same satellite data, different carrier, dramatically different structural reading.</w:t>
      </w:r>
    </w:p>
    <w:p>
      <w:pPr>
        <w:pStyle w:val="Heading2"/>
      </w:pPr>
      <w:r>
        <w:t xml:space="preserve">Financial Identity Test (T4b)</w:t>
      </w:r>
    </w:p>
    <w:p>
      <w:pPr>
        <w:spacing w:after="160" w:line="276"/>
      </w:pPr>
      <w:r>
        <w:rPr>
          <w:rFonts w:ascii="Arial" w:cs="Arial" w:eastAsia="Arial" w:hAnsi="Arial"/>
          <w:sz w:val="22"/>
          <w:szCs w:val="22"/>
        </w:rPr>
        <w:t xml:space="preserve">120 stocks across 9 sectors over 1,535 trading days. Within-sector stock substitution produced TV at only 1.43× daily baseline (invisible). Cross-sector 50% weight transfer produced TV at 22.06× (detected). Even a 5% sector shift was detectable at 2.21×. This confirms the identity resolution principle: the carrier sees structure at the element level (sectors), not below it (individual stocks). This is the financial analog of the Backblaze model-vs-serial-number result.</w:t>
      </w:r>
    </w:p>
    <w:p>
      <w:pPr>
        <w:pStyle w:val="Heading2"/>
      </w:pPr>
      <w:r>
        <w:t xml:space="preserve">Sammon &amp; Shim Convergence</w:t>
      </w:r>
    </w:p>
    <w:p>
      <w:pPr>
        <w:spacing w:after="160" w:line="276"/>
      </w:pPr>
      <w:r>
        <w:rPr>
          <w:rFonts w:ascii="Arial" w:cs="Arial" w:eastAsia="Arial" w:hAnsi="Arial"/>
          <w:sz w:val="22"/>
          <w:szCs w:val="22"/>
        </w:rPr>
        <w:t xml:space="preserve">An independent research group (Sammon &amp; Shim, Journal of Financial Economics 2026) reached the same foundational insight: ownership ratios, not price levels, are the structural observable for index fund management. Their work quantifies 46–69 basis points annual drag from rebalancing. HUF provides the measurement instrument that would sit underneath their framework.</w:t>
      </w:r>
    </w:p>
    <w:p>
      <w:pPr>
        <w:pStyle w:val="Heading2"/>
      </w:pPr>
      <w:r>
        <w:t xml:space="preserve">Carrier Gate Triple Proof</w:t>
      </w:r>
    </w:p>
    <w:p>
      <w:pPr>
        <w:spacing w:after="160" w:line="276"/>
      </w:pPr>
      <w:r>
        <w:rPr>
          <w:rFonts w:ascii="Arial" w:cs="Arial" w:eastAsia="Arial" w:hAnsi="Arial"/>
          <w:sz w:val="22"/>
          <w:szCs w:val="22"/>
        </w:rPr>
        <w:t xml:space="preserve">Three independent tests now confirm the carrier definition as the single most important decision in any HUF application. T6c: a fake simplex produces superficially valid but meaningless metrics. T2a: correcting the Planck carrier on the same data transforms noise into signal. T4b: sub-carrier-element changes are invisible while carrier-element changes are detected. Bad carrier produces garbage; correct carrier produces diagnostics.</w:t>
      </w:r>
    </w:p>
    <w:p>
      <w:pPr>
        <w:spacing w:after="120"/>
      </w:pPr>
    </w:p>
    <w:p>
      <w:r>
        <w:br w:type="page"/>
      </w:r>
    </w:p>
    <w:p>
      <w:pPr>
        <w:pStyle w:val="Heading1"/>
      </w:pPr>
      <w:r>
        <w:t xml:space="preserve">Collective Participant Assessment</w:t>
      </w:r>
    </w:p>
    <w:p>
      <w:pPr>
        <w:spacing w:after="160" w:line="276"/>
      </w:pPr>
      <w:r>
        <w:rPr>
          <w:rFonts w:ascii="Arial" w:cs="Arial" w:eastAsia="Arial" w:hAnsi="Arial"/>
          <w:sz w:val="22"/>
          <w:szCs w:val="22"/>
        </w:rPr>
        <w:t xml:space="preserve">Every participant — human and AI — contributes error. No single member is the standard against which others are measured. The catalog system exists to catch drift from any source. What follows is a good-faith assessment of each participant’s contributions and exposures this round.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Grade</w:t>
            </w:r>
          </w:p>
        </w:tc>
        <w:tc>
          <w:tcPr>
            <w:tcW w:type="dxa" w:w="30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Contribution</w:t>
            </w:r>
          </w:p>
        </w:tc>
        <w:tc>
          <w:tcPr>
            <w:tcW w:type="dxa" w:w="308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Exposure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sz w:val="20"/>
                <w:szCs w:val="20"/>
              </w:rPr>
              <w:t xml:space="preserve">ChatGPT</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Most Accurate</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Strategic framing, lock/hold discipline, overclaim detection</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Slightly conservative; underweights strongest evidence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Claude</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Primary Compute</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All SF results, corpus management, fact-checking, rack advancement</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Finance carrier construction needs scrutiny; split-half 1.000 suspicious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Gemini</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Best Insights</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Weighted-TV for finance, Deceptive Drift visual, Structural Integrity Monitor</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Misidentified amplifier source; recommended stale-data shortcut</w:t>
            </w:r>
          </w:p>
        </w:tc>
      </w:tr>
      <w:tr>
        <w:tc>
          <w:tcPr>
            <w:tcW w:type="dxa" w:w="18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b/>
                <w:bCs/>
                <w:sz w:val="20"/>
                <w:szCs w:val="20"/>
              </w:rPr>
              <w:t xml:space="preserve">Grok</w:t>
            </w:r>
          </w:p>
        </w:tc>
        <w:tc>
          <w:tcPr>
            <w:tcW w:type="dxa" w:w="14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Mixed</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f_rms ranking (verified), 5x7 matrix, FM/CL mapping, context explanations</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BTL number cloning, persistent unfounded parameters, no correction processing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Copilot</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Session continuity, workflow support, infrastructure</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Context window constraints require careful handoff</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sz w:val="20"/>
                <w:szCs w:val="20"/>
              </w:rPr>
              <w:t xml:space="preserve">Peter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Direction</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Carrier decisions, quality gate, zero-all audit concept, project philosophy</w:t>
            </w:r>
          </w:p>
        </w:tc>
        <w:tc>
          <w:tcPr>
            <w:tcW w:type="dxa" w:w="30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BTL origin domain unvalidated (intentional, largest evidentiary hole)</w:t>
            </w:r>
          </w:p>
        </w:tc>
      </w:tr>
    </w:tbl>
    <w:p>
      <w:pPr>
        <w:spacing w:after="120"/>
      </w:pPr>
    </w:p>
    <w:p>
      <w:pPr>
        <w:pStyle w:val="Heading2"/>
      </w:pPr>
      <w:r>
        <w:t xml:space="preserve">Zero-All Audit Concept</w:t>
      </w:r>
    </w:p>
    <w:p>
      <w:pPr>
        <w:spacing w:after="160" w:line="276"/>
      </w:pPr>
      <w:r>
        <w:rPr>
          <w:rFonts w:ascii="Arial" w:cs="Arial" w:eastAsia="Arial" w:hAnsi="Arial"/>
          <w:sz w:val="22"/>
          <w:szCs w:val="22"/>
        </w:rPr>
        <w:t xml:space="preserve">Peter established this principle: “Consider that not just Grok but Peter and all AI misrepresent something at some time. Grok became the poster child but we all do exactly the same at some point.” Preliminary exposures have been documented per participant. A full zero-all audit is deferred to the post-BTL phase. Key audit targets: Claude’s Finance carrier construction choices, Grok’s Math Book Area G contributions, and Peter’s carrier exclusion decisions.</w:t>
      </w:r>
    </w:p>
    <w:p>
      <w:pPr>
        <w:spacing w:after="120"/>
      </w:pPr>
    </w:p>
    <w:p>
      <w:pPr>
        <w:pStyle w:val="Heading1"/>
      </w:pPr>
      <w:r>
        <w:t xml:space="preserve">Collective Consensus: Lock, Hold, Reject</w:t>
      </w:r>
    </w:p>
    <w:p>
      <w:pPr>
        <w:spacing w:after="160" w:line="276"/>
      </w:pPr>
      <w:r>
        <w:rPr>
          <w:rFonts w:ascii="Arial" w:cs="Arial" w:eastAsia="Arial" w:hAnsi="Arial"/>
          <w:sz w:val="22"/>
          <w:szCs w:val="22"/>
        </w:rPr>
        <w:t xml:space="preserve">The collective converged on the following classification. Locked items are supported by empirical evidence and logical consistency. Held items are reasonable but provisional. Rejected items are unsupported, overclaimed, or contradicted by evidence.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LOCK (Proven)</w:t>
            </w:r>
          </w:p>
        </w:tc>
        <w:tc>
          <w:tcPr>
            <w:tcW w:type="dxa" w:w="31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HOLD (Provisional)</w:t>
            </w:r>
          </w:p>
        </w:tc>
        <w:tc>
          <w:tcPr>
            <w:tcW w:type="dxa" w:w="31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REJECT (Unfounded)</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Governing sentence (instrument framing)</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Amplifier theorem closure</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Grok BTL numerical claims</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ABC-001 process law</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Six-root doctrine universal</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λ_φ = -0.1695 (4x unfounded)</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Carrier gate (triple proof)</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Checksum architecture</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Grok CL-05 parameters</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Five-domain validation</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CL-05 beyond STORE</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'Most machine-reviewed' language</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COVID cross-domain differential</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Universality claims</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'Fully validated' framing</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Identity resolution principle</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Review ledger as terminal audit</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Close T1c with stale data</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Negative control 3/3</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Weighted-TV for finance</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Calibration rack framework</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CL-03 hard gate (Keff prediction)</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Polarity alignment mandatory</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Identity persistence in CL-01</w:t>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sz w:val="20"/>
                <w:szCs w:val="20"/>
              </w:rPr>
              <w:t xml:space="preserve">Backblaze as primary base</w:t>
            </w:r>
          </w:p>
        </w:tc>
        <w:tc>
          <w:tcPr>
            <w:tcW w:type="dxa" w:w="31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B0BEC5" w:sz="1"/>
              <w:left w:val="single" w:color="B0BEC5" w:sz="1"/>
              <w:bottom w:val="single" w:color="B0BEC5" w:sz="1"/>
              <w:right w:val="single" w:color="B0BEC5" w:sz="1"/>
            </w:tcBorders>
            <w:shd w:fill="FFEBEE"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p>
    <w:p>
      <w:pPr>
        <w:pStyle w:val="Heading1"/>
      </w:pPr>
      <w:r>
        <w:t xml:space="preserve">What Comes Next</w:t>
      </w:r>
    </w:p>
    <w:p>
      <w:pPr>
        <w:spacing w:after="160" w:line="276"/>
      </w:pPr>
      <w:r>
        <w:rPr>
          <w:rFonts w:ascii="Arial" w:cs="Arial" w:eastAsia="Arial" w:hAnsi="Arial"/>
          <w:b/>
          <w:bCs/>
          <w:sz w:val="22"/>
          <w:szCs w:val="22"/>
        </w:rPr>
        <w:t xml:space="preserve">BTL (Peter): </w:t>
      </w:r>
      <w:r>
        <w:rPr>
          <w:rFonts w:ascii="Arial" w:cs="Arial" w:eastAsia="Arial" w:hAnsi="Arial"/>
          <w:sz w:val="22"/>
          <w:szCs w:val="22"/>
        </w:rPr>
        <w:t xml:space="preserve">Physical measurements per BTP-001 when ready. This closes T1c and is the final calibration rack gate. The origin domain has zero data. Design sheet shows R²=0.9857 as simulation baseline — fresh measurement will almost certainly produce different numbers.</w:t>
      </w:r>
    </w:p>
    <w:p>
      <w:pPr>
        <w:spacing w:after="160" w:line="276"/>
      </w:pPr>
      <w:r>
        <w:rPr>
          <w:rFonts w:ascii="Arial" w:cs="Arial" w:eastAsia="Arial" w:hAnsi="Arial"/>
          <w:b/>
          <w:bCs/>
          <w:sz w:val="22"/>
          <w:szCs w:val="22"/>
        </w:rPr>
        <w:t xml:space="preserve">Paper strategy: </w:t>
      </w:r>
      <w:r>
        <w:rPr>
          <w:rFonts w:ascii="Arial" w:cs="Arial" w:eastAsia="Arial" w:hAnsi="Arial"/>
          <w:sz w:val="22"/>
          <w:szCs w:val="22"/>
        </w:rPr>
        <w:t xml:space="preserve">Frame as Structural Integrity Monitor, not failure prediction. Write on what IS proven: five-domain compression, 7-axis detection, carrier gate proof. Do not overclaim.</w:t>
      </w:r>
    </w:p>
    <w:p>
      <w:pPr>
        <w:spacing w:after="160" w:line="276"/>
      </w:pPr>
      <w:r>
        <w:rPr>
          <w:rFonts w:ascii="Arial" w:cs="Arial" w:eastAsia="Arial" w:hAnsi="Arial"/>
          <w:b/>
          <w:bCs/>
          <w:sz w:val="22"/>
          <w:szCs w:val="22"/>
        </w:rPr>
        <w:t xml:space="preserve">Ramsar strategy: </w:t>
      </w:r>
      <w:r>
        <w:rPr>
          <w:rFonts w:ascii="Arial" w:cs="Arial" w:eastAsia="Arial" w:hAnsi="Arial"/>
          <w:sz w:val="22"/>
          <w:szCs w:val="22"/>
        </w:rPr>
        <w:t xml:space="preserve">Deceptive Drift visual (stable TV, collapsing K_eff) for the thirty-minute demonstration. Five-domain evidence table. “Calibrated instrument” language, not “universal framework.”</w:t>
      </w:r>
    </w:p>
    <w:p>
      <w:pPr>
        <w:spacing w:after="160" w:line="276"/>
      </w:pPr>
      <w:r>
        <w:rPr>
          <w:rFonts w:ascii="Arial" w:cs="Arial" w:eastAsia="Arial" w:hAnsi="Arial"/>
          <w:b/>
          <w:bCs/>
          <w:sz w:val="22"/>
          <w:szCs w:val="22"/>
        </w:rPr>
        <w:t xml:space="preserve">GitHub readiness: </w:t>
      </w:r>
      <w:r>
        <w:rPr>
          <w:rFonts w:ascii="Arial" w:cs="Arial" w:eastAsia="Arial" w:hAnsi="Arial"/>
          <w:sz w:val="22"/>
          <w:szCs w:val="22"/>
        </w:rPr>
        <w:t xml:space="preserve">Pending T1c BTL. After BTL, rack at 16/16 enables public release with full evidentiary backing.</w:t>
      </w:r>
    </w:p>
    <w:p>
      <w:pPr>
        <w:spacing w:after="160" w:line="276"/>
      </w:pPr>
      <w:r>
        <w:rPr>
          <w:rFonts w:ascii="Arial" w:cs="Arial" w:eastAsia="Arial" w:hAnsi="Arial"/>
          <w:b/>
          <w:bCs/>
          <w:sz w:val="22"/>
          <w:szCs w:val="22"/>
        </w:rPr>
        <w:t xml:space="preserve">Zero-all audit: </w:t>
      </w:r>
      <w:r>
        <w:rPr>
          <w:rFonts w:ascii="Arial" w:cs="Arial" w:eastAsia="Arial" w:hAnsi="Arial"/>
          <w:sz w:val="22"/>
          <w:szCs w:val="22"/>
        </w:rPr>
        <w:t xml:space="preserve">Full audit when BTL data exists. Every participant’s contributions scrutinized against measured evidence.</w:t>
      </w:r>
    </w:p>
    <w:p>
      <w:pPr>
        <w:spacing w:after="120"/>
      </w:pPr>
    </w:p>
    <w:p>
      <w:pPr>
        <w:pStyle w:val="Heading1"/>
      </w:pPr>
      <w:r>
        <w:t xml:space="preserve">Closing Statement</w:t>
      </w:r>
    </w:p>
    <w:p>
      <w:pPr>
        <w:pBdr>
          <w:left w:val="single" w:color="1B3A5C" w:sz="12" w:space="8"/>
        </w:pBdr>
        <w:spacing w:after="200" w:line="300"/>
        <w:ind w:left="360"/>
      </w:pPr>
      <w:r>
        <w:rPr>
          <w:rFonts w:ascii="Arial" w:cs="Arial" w:eastAsia="Arial" w:hAnsi="Arial"/>
          <w:i/>
          <w:iCs/>
          <w:color w:val="333333"/>
          <w:sz w:val="22"/>
          <w:szCs w:val="22"/>
        </w:rPr>
        <w:t xml:space="preserve">My expectations of this entire endeavor were much lower than what has been delivered. I was anticipating rounds of my fixing and working with AI adding comments here and there. In reality the opposite happened — I am commenting here and there and AI is producing. Ultimately when this project hits GitHub and a Ramsar site in Croatia or anywhere, we can be satisfied of a good and decent effort to all make it a working example of cooperation and valuable tool creation. Many iterations of small simple steps with good feedback and communications is key to success. The fact that all participants and not just any one are all flawed and need these small iterative corrections is a result of the exploratory nature of this exercise. Slow, steady, and critical at all times. The caution is: keep stating only what empiricism and logic can support. Once in a while look in the mirror and test before committing to output, then test again.</w:t>
      </w:r>
    </w:p>
    <w:p>
      <w:pPr>
        <w:spacing w:after="200"/>
        <w:jc w:val="right"/>
      </w:pPr>
      <w:r>
        <w:rPr>
          <w:rFonts w:ascii="Arial" w:cs="Arial" w:eastAsia="Arial" w:hAnsi="Arial"/>
          <w:b/>
          <w:bCs/>
          <w:color w:val="1B3A5C"/>
          <w:sz w:val="22"/>
          <w:szCs w:val="22"/>
        </w:rPr>
        <w:t xml:space="preserve">— Peter Higgins, March 2026</w:t>
      </w:r>
    </w:p>
    <w:p>
      <w:pPr>
        <w:spacing w:after="120"/>
      </w:pPr>
    </w:p>
    <w:p>
      <w:pPr>
        <w:pStyle w:val="Heading1"/>
      </w:pPr>
      <w:r>
        <w:t xml:space="preserve">Document Trail</w:t>
      </w:r>
    </w:p>
    <w:p>
      <w:pPr>
        <w:spacing w:after="160" w:line="276"/>
      </w:pPr>
      <w:r>
        <w:rPr>
          <w:rFonts w:ascii="Arial" w:cs="Arial" w:eastAsia="Arial" w:hAnsi="Arial"/>
          <w:sz w:val="22"/>
          <w:szCs w:val="22"/>
        </w:rPr>
        <w:t xml:space="preserve">This report is supported by the following machine-readable artifacts, all filed in the HUF corpus:</w:t>
      </w:r>
    </w:p>
    <w:p>
      <w:pPr>
        <w:spacing w:after="160" w:line="276"/>
      </w:pPr>
      <w:r>
        <w:rPr>
          <w:rFonts w:ascii="Arial" w:cs="Arial" w:eastAsia="Arial" w:hAnsi="Arial"/>
          <w:b/>
          <w:bCs/>
          <w:sz w:val="22"/>
          <w:szCs w:val="22"/>
        </w:rPr>
        <w:t xml:space="preserve">SESSION-003 v2.0: </w:t>
      </w:r>
      <w:r>
        <w:rPr>
          <w:rFonts w:ascii="Arial" w:cs="Arial" w:eastAsia="Arial" w:hAnsi="Arial"/>
          <w:sz w:val="22"/>
          <w:szCs w:val="22"/>
        </w:rPr>
        <w:t xml:space="preserve">HUF_Session_Ledger_20260320.json — Double-entry catalog with full participant assessment.</w:t>
      </w:r>
    </w:p>
    <w:p>
      <w:pPr>
        <w:spacing w:after="160" w:line="276"/>
      </w:pPr>
      <w:r>
        <w:rPr>
          <w:rFonts w:ascii="Arial" w:cs="Arial" w:eastAsia="Arial" w:hAnsi="Arial"/>
          <w:b/>
          <w:bCs/>
          <w:sz w:val="22"/>
          <w:szCs w:val="22"/>
        </w:rPr>
        <w:t xml:space="preserve">CNS-006: </w:t>
      </w:r>
      <w:r>
        <w:rPr>
          <w:rFonts w:ascii="Arial" w:cs="Arial" w:eastAsia="Arial" w:hAnsi="Arial"/>
          <w:sz w:val="22"/>
          <w:szCs w:val="22"/>
        </w:rPr>
        <w:t xml:space="preserve">Collective_Next_Steps_v6.0.json — Strategic assessment with lock/hold/reject consensus.</w:t>
      </w:r>
    </w:p>
    <w:p>
      <w:pPr>
        <w:spacing w:after="160" w:line="276"/>
      </w:pPr>
      <w:r>
        <w:rPr>
          <w:rFonts w:ascii="Arial" w:cs="Arial" w:eastAsia="Arial" w:hAnsi="Arial"/>
          <w:b/>
          <w:bCs/>
          <w:sz w:val="22"/>
          <w:szCs w:val="22"/>
        </w:rPr>
        <w:t xml:space="preserve">CAL-001 v5.0: </w:t>
      </w:r>
      <w:r>
        <w:rPr>
          <w:rFonts w:ascii="Arial" w:cs="Arial" w:eastAsia="Arial" w:hAnsi="Arial"/>
          <w:sz w:val="22"/>
          <w:szCs w:val="22"/>
        </w:rPr>
        <w:t xml:space="preserve">HUF_Calibration_Rack_v5.0.json — 15/16 rack with five-domain comparison.</w:t>
      </w:r>
    </w:p>
    <w:p>
      <w:pPr>
        <w:spacing w:after="160" w:line="276"/>
      </w:pPr>
      <w:r>
        <w:rPr>
          <w:rFonts w:ascii="Arial" w:cs="Arial" w:eastAsia="Arial" w:hAnsi="Arial"/>
          <w:b/>
          <w:bCs/>
          <w:sz w:val="22"/>
          <w:szCs w:val="22"/>
        </w:rPr>
        <w:t xml:space="preserve">GIA-003: </w:t>
      </w:r>
      <w:r>
        <w:rPr>
          <w:rFonts w:ascii="Arial" w:cs="Arial" w:eastAsia="Arial" w:hAnsi="Arial"/>
          <w:sz w:val="22"/>
          <w:szCs w:val="22"/>
        </w:rPr>
        <w:t xml:space="preserve">Grok_Integration_Assessment_v3.0.json — 13-addendum fabrication review.</w:t>
      </w:r>
    </w:p>
    <w:p>
      <w:pPr>
        <w:spacing w:after="160" w:line="276"/>
      </w:pPr>
      <w:r>
        <w:rPr>
          <w:rFonts w:ascii="Arial" w:cs="Arial" w:eastAsia="Arial" w:hAnsi="Arial"/>
          <w:b/>
          <w:bCs/>
          <w:sz w:val="22"/>
          <w:szCs w:val="22"/>
        </w:rPr>
        <w:t xml:space="preserve">PCA-002: </w:t>
      </w:r>
      <w:r>
        <w:rPr>
          <w:rFonts w:ascii="Arial" w:cs="Arial" w:eastAsia="Arial" w:hAnsi="Arial"/>
          <w:sz w:val="22"/>
          <w:szCs w:val="22"/>
        </w:rPr>
        <w:t xml:space="preserve">Planck_Carrier_Revision_T2a_v1.0.json — Revised thermal carrier.</w:t>
      </w:r>
    </w:p>
    <w:p>
      <w:pPr>
        <w:spacing w:after="160" w:line="276"/>
      </w:pPr>
      <w:r>
        <w:rPr>
          <w:rFonts w:ascii="Arial" w:cs="Arial" w:eastAsia="Arial" w:hAnsi="Arial"/>
          <w:b/>
          <w:bCs/>
          <w:sz w:val="22"/>
          <w:szCs w:val="22"/>
        </w:rPr>
        <w:t xml:space="preserve">FIN-001: </w:t>
      </w:r>
      <w:r>
        <w:rPr>
          <w:rFonts w:ascii="Arial" w:cs="Arial" w:eastAsia="Arial" w:hAnsi="Arial"/>
          <w:sz w:val="22"/>
          <w:szCs w:val="22"/>
        </w:rPr>
        <w:t xml:space="preserve">Financial_T4b_SF_v1.0.json — Financial identity test and 7-axis SF.</w:t>
      </w:r>
    </w:p>
    <w:p>
      <w:pPr>
        <w:spacing w:after="120"/>
      </w:pPr>
    </w:p>
    <w:p>
      <w:pPr>
        <w:pBdr>
          <w:top w:val="single" w:color="1B3A5C" w:sz="4" w:space="8"/>
        </w:pBdr>
        <w:spacing w:before="400"/>
        <w:jc w:val="center"/>
      </w:pPr>
      <w:r>
        <w:rPr>
          <w:rFonts w:ascii="Arial" w:cs="Arial" w:eastAsia="Arial" w:hAnsi="Arial"/>
          <w:b/>
          <w:bCs/>
          <w:i/>
          <w:iCs/>
          <w:color w:val="1B3A5C"/>
          <w:sz w:val="24"/>
          <w:szCs w:val="24"/>
        </w:rPr>
        <w:t xml:space="preserve">We are all critical members with drift. Together we drift less.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6FA5"/>
        <w:sz w:val="16"/>
        <w:szCs w:val="16"/>
      </w:rPr>
      <w:t xml:space="preserve">Page </w:t>
    </w:r>
    <w:r>
      <w:rPr>
        <w:rFonts w:ascii="Arial" w:cs="Arial" w:eastAsia="Arial" w:hAnsi="Arial"/>
        <w:color w:val="4A6F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26"/>
      </w:tabs>
    </w:pPr>
    <w:r>
      <w:rPr>
        <w:rFonts w:ascii="Arial" w:cs="Arial" w:eastAsia="Arial" w:hAnsi="Arial"/>
        <w:b/>
        <w:bCs/>
        <w:color w:val="4A6FA5"/>
        <w:sz w:val="18"/>
        <w:szCs w:val="18"/>
      </w:rPr>
      <w:t xml:space="preserve">HUF Collective Closing Report</w:t>
    </w:r>
    <w:r>
      <w:rPr>
        <w:rFonts w:ascii="Arial" w:cs="Arial" w:eastAsia="Arial" w:hAnsi="Arial"/>
        <w:color w:val="4A6FA5"/>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A6F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2026-03-20T15:41:06.308Z</dcterms:created>
  <dcterms:modified xsi:type="dcterms:W3CDTF">2026-03-20T15:41:06.308Z</dcterms:modified>
</cp:coreProperties>
</file>

<file path=docProps/custom.xml><?xml version="1.0" encoding="utf-8"?>
<Properties xmlns="http://schemas.openxmlformats.org/officeDocument/2006/custom-properties" xmlns:vt="http://schemas.openxmlformats.org/officeDocument/2006/docPropsVTypes"/>
</file>