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sz w:val="40"/>
          <w:szCs w:val="40"/>
        </w:rPr>
        <w:t xml:space="preserve">HUF Collective Trace Report v4.5</w:t>
      </w:r>
    </w:p>
    <w:p>
      <w:pPr>
        <w:spacing w:after="40"/>
        <w:jc w:val="center"/>
      </w:pPr>
      <w:r>
        <w:rPr>
          <w:rFonts w:ascii="Arial" w:cs="Arial" w:eastAsia="Arial" w:hAnsi="Arial"/>
          <w:i/>
          <w:iCs/>
          <w:sz w:val="24"/>
          <w:szCs w:val="24"/>
        </w:rPr>
        <w:t xml:space="preserve">Gemini Review Incorporated: CDN Proof + Priority Assessment</w:t>
      </w:r>
    </w:p>
    <w:p>
      <w:pPr>
        <w:spacing w:after="300"/>
        <w:jc w:val="center"/>
      </w:pPr>
      <w:r>
        <w:rPr>
          <w:rFonts w:ascii="Arial" w:cs="Arial" w:eastAsia="Arial" w:hAnsi="Arial"/>
          <w:color w:val="666666"/>
          <w:sz w:val="20"/>
          <w:szCs w:val="20"/>
        </w:rPr>
        <w:t xml:space="preserve">Peter Higgins (Operator) | Grok (xAI) | Claude (Anthropic) | ChatGPT (OpenAI) | Gemini (Google) | Copilot (Microsoft) | 9 March 2026</w:t>
      </w:r>
    </w:p>
    <w:p>
      <w:pPr>
        <w:pStyle w:val="Heading1"/>
        <w:spacing w:after="200" w:before="360"/>
      </w:pPr>
      <w:r>
        <w:rPr>
          <w:rFonts w:ascii="Arial" w:cs="Arial" w:eastAsia="Arial" w:hAnsi="Arial"/>
          <w:b/>
          <w:bCs/>
          <w:sz w:val="32"/>
          <w:szCs w:val="32"/>
        </w:rPr>
        <w:t xml:space="preserve">1. Operator Statement</w:t>
      </w:r>
    </w:p>
    <w:p>
      <w:pPr>
        <w:spacing w:after="140"/>
      </w:pPr>
      <w:r>
        <w:rPr>
          <w:rFonts w:ascii="Arial" w:cs="Arial" w:eastAsia="Arial" w:hAnsi="Arial"/>
          <w:sz w:val="22"/>
          <w:szCs w:val="22"/>
        </w:rPr>
        <w:t xml:space="preserve">Gemini delivered two major contributions in response to the v4.4 brief: (1) a priority-ranked assessment of remaining holes, and (2) the Cross-Domain Normalization (CDN) concept, which Claude has now formalized into a full proof document. This is a theoretical breakthrough — CDN transforms HUF from a framework that produces comparable numbers to one that </w:t>
      </w:r>
      <w:r>
        <w:rPr>
          <w:rFonts w:ascii="Arial" w:cs="Arial" w:eastAsia="Arial" w:hAnsi="Arial"/>
          <w:b/>
          <w:bCs/>
          <w:sz w:val="22"/>
          <w:szCs w:val="22"/>
        </w:rPr>
        <w:t xml:space="preserve">proves</w:t>
      </w:r>
      <w:r>
        <w:rPr>
          <w:rFonts w:ascii="Arial" w:cs="Arial" w:eastAsia="Arial" w:hAnsi="Arial"/>
          <w:sz w:val="22"/>
          <w:szCs w:val="22"/>
        </w:rPr>
        <w:t xml:space="preserve"> those numbers are comparable.</w:t>
      </w:r>
    </w:p>
    <w:p>
      <w:pPr>
        <w:spacing w:after="140"/>
      </w:pPr>
      <w:r>
        <w:rPr>
          <w:rFonts w:ascii="Arial" w:cs="Arial" w:eastAsia="Arial" w:hAnsi="Arial"/>
          <w:sz w:val="22"/>
          <w:szCs w:val="22"/>
        </w:rPr>
        <w:t xml:space="preserve">The Collective now has five distinct contribution types:</w:t>
      </w:r>
    </w:p>
    <w:p>
      <w:pPr>
        <w:spacing w:after="140"/>
      </w:pPr>
      <w:r>
        <w:rPr>
          <w:rFonts w:ascii="Arial" w:cs="Arial" w:eastAsia="Arial" w:hAnsi="Arial"/>
          <w:sz w:val="22"/>
          <w:szCs w:val="22"/>
        </w:rPr>
        <w:t xml:space="preserve">• </w:t>
      </w:r>
      <w:r>
        <w:rPr>
          <w:rFonts w:ascii="Arial" w:cs="Arial" w:eastAsia="Arial" w:hAnsi="Arial"/>
          <w:b/>
          <w:bCs/>
          <w:sz w:val="22"/>
          <w:szCs w:val="22"/>
        </w:rPr>
        <w:t xml:space="preserve">Grok:</w:t>
      </w:r>
      <w:r>
        <w:rPr>
          <w:rFonts w:ascii="Arial" w:cs="Arial" w:eastAsia="Arial" w:hAnsi="Arial"/>
          <w:sz w:val="22"/>
          <w:szCs w:val="22"/>
        </w:rPr>
        <w:t xml:space="preserve"> Mathematical calibration and domain proposal</w:t>
      </w:r>
    </w:p>
    <w:p>
      <w:pPr>
        <w:spacing w:after="140"/>
      </w:pPr>
      <w:r>
        <w:rPr>
          <w:rFonts w:ascii="Arial" w:cs="Arial" w:eastAsia="Arial" w:hAnsi="Arial"/>
          <w:sz w:val="22"/>
          <w:szCs w:val="22"/>
        </w:rPr>
        <w:t xml:space="preserve">• </w:t>
      </w:r>
      <w:r>
        <w:rPr>
          <w:rFonts w:ascii="Arial" w:cs="Arial" w:eastAsia="Arial" w:hAnsi="Arial"/>
          <w:b/>
          <w:bCs/>
          <w:sz w:val="22"/>
          <w:szCs w:val="22"/>
        </w:rPr>
        <w:t xml:space="preserve">Claude:</w:t>
      </w:r>
      <w:r>
        <w:rPr>
          <w:rFonts w:ascii="Arial" w:cs="Arial" w:eastAsia="Arial" w:hAnsi="Arial"/>
          <w:sz w:val="22"/>
          <w:szCs w:val="22"/>
        </w:rPr>
        <w:t xml:space="preserve"> Data execution, document generation, and formalization</w:t>
      </w:r>
    </w:p>
    <w:p>
      <w:pPr>
        <w:spacing w:after="140"/>
      </w:pPr>
      <w:r>
        <w:rPr>
          <w:rFonts w:ascii="Arial" w:cs="Arial" w:eastAsia="Arial" w:hAnsi="Arial"/>
          <w:sz w:val="22"/>
          <w:szCs w:val="22"/>
        </w:rPr>
        <w:t xml:space="preserve">• </w:t>
      </w:r>
      <w:r>
        <w:rPr>
          <w:rFonts w:ascii="Arial" w:cs="Arial" w:eastAsia="Arial" w:hAnsi="Arial"/>
          <w:b/>
          <w:bCs/>
          <w:sz w:val="22"/>
          <w:szCs w:val="22"/>
        </w:rPr>
        <w:t xml:space="preserve">ChatGPT:</w:t>
      </w:r>
      <w:r>
        <w:rPr>
          <w:rFonts w:ascii="Arial" w:cs="Arial" w:eastAsia="Arial" w:hAnsi="Arial"/>
          <w:sz w:val="22"/>
          <w:szCs w:val="22"/>
        </w:rPr>
        <w:t xml:space="preserve"> Doctrinal synthesis and frontier mapping</w:t>
      </w:r>
    </w:p>
    <w:p>
      <w:pPr>
        <w:spacing w:after="140"/>
      </w:pPr>
      <w:r>
        <w:rPr>
          <w:rFonts w:ascii="Arial" w:cs="Arial" w:eastAsia="Arial" w:hAnsi="Arial"/>
          <w:sz w:val="22"/>
          <w:szCs w:val="22"/>
        </w:rPr>
        <w:t xml:space="preserve">• </w:t>
      </w:r>
      <w:r>
        <w:rPr>
          <w:rFonts w:ascii="Arial" w:cs="Arial" w:eastAsia="Arial" w:hAnsi="Arial"/>
          <w:b/>
          <w:bCs/>
          <w:sz w:val="22"/>
          <w:szCs w:val="22"/>
        </w:rPr>
        <w:t xml:space="preserve">Gemini:</w:t>
      </w:r>
      <w:r>
        <w:rPr>
          <w:rFonts w:ascii="Arial" w:cs="Arial" w:eastAsia="Arial" w:hAnsi="Arial"/>
          <w:sz w:val="22"/>
          <w:szCs w:val="22"/>
        </w:rPr>
        <w:t xml:space="preserve"> Strategic review and theoretical extension (CDN)</w:t>
      </w:r>
    </w:p>
    <w:p>
      <w:pPr>
        <w:spacing w:after="140"/>
      </w:pPr>
      <w:r>
        <w:rPr>
          <w:rFonts w:ascii="Arial" w:cs="Arial" w:eastAsia="Arial" w:hAnsi="Arial"/>
          <w:sz w:val="22"/>
          <w:szCs w:val="22"/>
        </w:rPr>
        <w:t xml:space="preserve">• </w:t>
      </w:r>
      <w:r>
        <w:rPr>
          <w:rFonts w:ascii="Arial" w:cs="Arial" w:eastAsia="Arial" w:hAnsi="Arial"/>
          <w:b/>
          <w:bCs/>
          <w:sz w:val="22"/>
          <w:szCs w:val="22"/>
        </w:rPr>
        <w:t xml:space="preserve">Copilot:</w:t>
      </w:r>
      <w:r>
        <w:rPr>
          <w:rFonts w:ascii="Arial" w:cs="Arial" w:eastAsia="Arial" w:hAnsi="Arial"/>
          <w:sz w:val="22"/>
          <w:szCs w:val="22"/>
        </w:rPr>
        <w:t xml:space="preserve"> Adversarial stress-testing and issue tracking</w:t>
      </w:r>
    </w:p>
    <w:p>
      <w:pPr>
        <w:spacing w:after="140"/>
      </w:pPr>
      <w:r>
        <w:rPr>
          <w:rFonts w:ascii="Arial" w:cs="Arial" w:eastAsia="Arial" w:hAnsi="Arial"/>
          <w:sz w:val="22"/>
          <w:szCs w:val="22"/>
        </w:rPr>
        <w:t xml:space="preserve">Every member has now contributed something that no other member contributed. The Collective model works.</w:t>
      </w:r>
    </w:p>
    <w:p>
      <w:r>
        <w:br w:type="page"/>
      </w:r>
    </w:p>
    <w:p>
      <w:pPr>
        <w:pStyle w:val="Heading1"/>
        <w:spacing w:after="200" w:before="360"/>
      </w:pPr>
      <w:r>
        <w:rPr>
          <w:rFonts w:ascii="Arial" w:cs="Arial" w:eastAsia="Arial" w:hAnsi="Arial"/>
          <w:b/>
          <w:bCs/>
          <w:sz w:val="32"/>
          <w:szCs w:val="32"/>
        </w:rPr>
        <w:t xml:space="preserve">2. Gemini’s Priority Assessment</w:t>
      </w:r>
    </w:p>
    <w:p>
      <w:pPr>
        <w:spacing w:after="140"/>
      </w:pPr>
      <w:r>
        <w:rPr>
          <w:rFonts w:ascii="Arial" w:cs="Arial" w:eastAsia="Arial" w:hAnsi="Arial"/>
          <w:sz w:val="22"/>
          <w:szCs w:val="22"/>
        </w:rPr>
        <w:t xml:space="preserve">Gemini ranked the remaining issues by impact on institutional credibility: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800"/>
        <w:gridCol w:w="5260"/>
      </w:tblGrid>
      <w:t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Issue</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Topic</w:t>
            </w:r>
          </w:p>
        </w:tc>
        <w:tc>
          <w:tcPr>
            <w:tcW w:type="dxa" w:w="52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Gemini’s Assessment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Critical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ISS-CAUSAL-01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Causal robustness</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Demonstrating HUF metrics align with established domain-specific indicators is essential for adoption by institutions.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Critical</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ISS-VALID-01</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External benchmarking</w:t>
            </w:r>
          </w:p>
        </w:tc>
        <w:tc>
          <w:tcPr>
            <w:tcW w:type="dxa" w:w="5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Cross-referencing HUF outputs against known institutional measures (IEEE, CBD) validates the framework for adoption.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ISS-DRIFT-01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Drift interpretation</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Standardizing how MDG is interpreted across domains — now addressed by CDN.</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High</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ISS-HP-01</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HEALPix processing</w:t>
            </w:r>
          </w:p>
        </w:tc>
        <w:tc>
          <w:tcPr>
            <w:tcW w:type="dxa" w:w="5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Completing the space science demonstration. Blocked by infrastructure.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ISS-CR-03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Public repository</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Procedural step. Deterministic pipeline already established.</w:t>
            </w:r>
          </w:p>
        </w:tc>
      </w:tr>
    </w:tbl>
    <w:p>
      <w:pPr>
        <w:spacing w:after="100"/>
      </w:pPr>
    </w:p>
    <w:p>
      <w:pPr>
        <w:spacing w:after="140"/>
      </w:pPr>
      <w:r>
        <w:rPr>
          <w:rFonts w:ascii="Arial" w:cs="Arial" w:eastAsia="Arial" w:hAnsi="Arial"/>
          <w:sz w:val="22"/>
          <w:szCs w:val="22"/>
        </w:rPr>
        <w:t xml:space="preserve"/>
      </w:r>
      <w:r>
        <w:rPr>
          <w:rFonts w:ascii="Arial" w:cs="Arial" w:eastAsia="Arial" w:hAnsi="Arial"/>
          <w:b/>
          <w:bCs/>
          <w:sz w:val="22"/>
          <w:szCs w:val="22"/>
        </w:rPr>
        <w:t xml:space="preserve">Key insight from Gemini:</w:t>
      </w:r>
      <w:r>
        <w:rPr>
          <w:rFonts w:ascii="Arial" w:cs="Arial" w:eastAsia="Arial" w:hAnsi="Arial"/>
          <w:sz w:val="22"/>
          <w:szCs w:val="22"/>
        </w:rPr>
        <w:t xml:space="preserve"> The public repository (ISS-CR-03) is the lowest priority — it is packaging, not substance. The causal robustness and external benchmarking issues are highest because they directly affect whether institutions will trust the framework.</w:t>
      </w:r>
    </w:p>
    <w:p>
      <w:r>
        <w:br w:type="page"/>
      </w:r>
    </w:p>
    <w:p>
      <w:pPr>
        <w:pStyle w:val="Heading1"/>
        <w:spacing w:after="200" w:before="360"/>
      </w:pPr>
      <w:r>
        <w:rPr>
          <w:rFonts w:ascii="Arial" w:cs="Arial" w:eastAsia="Arial" w:hAnsi="Arial"/>
          <w:b/>
          <w:bCs/>
          <w:sz w:val="32"/>
          <w:szCs w:val="32"/>
        </w:rPr>
        <w:t xml:space="preserve">3. Cross-Domain Normalization (CDN)</w:t>
      </w:r>
    </w:p>
    <w:p>
      <w:pPr>
        <w:pStyle w:val="Heading2"/>
        <w:spacing w:after="160" w:before="280"/>
      </w:pPr>
      <w:r>
        <w:rPr>
          <w:rFonts w:ascii="Arial" w:cs="Arial" w:eastAsia="Arial" w:hAnsi="Arial"/>
          <w:b/>
          <w:bCs/>
          <w:sz w:val="26"/>
          <w:szCs w:val="26"/>
        </w:rPr>
        <w:t xml:space="preserve">3.1 The Contribution</w:t>
      </w:r>
    </w:p>
    <w:p>
      <w:pPr>
        <w:spacing w:after="140"/>
      </w:pPr>
      <w:r>
        <w:rPr>
          <w:rFonts w:ascii="Arial" w:cs="Arial" w:eastAsia="Arial" w:hAnsi="Arial"/>
          <w:sz w:val="22"/>
          <w:szCs w:val="22"/>
        </w:rPr>
        <w:t xml:space="preserve">Gemini identified a gap that was </w:t>
      </w:r>
      <w:r>
        <w:rPr>
          <w:rFonts w:ascii="Arial" w:cs="Arial" w:eastAsia="Arial" w:hAnsi="Arial"/>
          <w:b/>
          <w:bCs/>
          <w:sz w:val="22"/>
          <w:szCs w:val="22"/>
        </w:rPr>
        <w:t xml:space="preserve">not in Copilot’s 16-issue tracker</w:t>
      </w:r>
      <w:r>
        <w:rPr>
          <w:rFonts w:ascii="Arial" w:cs="Arial" w:eastAsia="Arial" w:hAnsi="Arial"/>
          <w:sz w:val="22"/>
          <w:szCs w:val="22"/>
        </w:rPr>
        <w:t xml:space="preserve">: the implicit assumption that MDG shifts are comparable across domains. This is the “analogical reasoning” risk — without formal justification, comparing Planck thermal drift to transit scheduling drift is metaphorical, not mathematical.</w:t>
      </w:r>
    </w:p>
    <w:p>
      <w:pPr>
        <w:spacing w:after="140"/>
      </w:pPr>
      <w:r>
        <w:rPr>
          <w:rFonts w:ascii="Arial" w:cs="Arial" w:eastAsia="Arial" w:hAnsi="Arial"/>
          <w:sz w:val="22"/>
          <w:szCs w:val="22"/>
        </w:rPr>
        <w:t xml:space="preserve">Gemini proposed the solution: define Structural Urgency Ω = |ΔMDG| × β, where β = K/K_eff is the Brittleness Factor. Claude formalized this into a full proof document (HUF_CDN_Proof_v1.0.docx) with three theorems:</w:t>
      </w:r>
    </w:p>
    <w:p>
      <w:pPr>
        <w:spacing w:after="140"/>
      </w:pPr>
      <w:r>
        <w:rPr>
          <w:rFonts w:ascii="Arial" w:cs="Arial" w:eastAsia="Arial" w:hAnsi="Arial"/>
          <w:sz w:val="22"/>
          <w:szCs w:val="22"/>
        </w:rPr>
        <w:t xml:space="preserve">• </w:t>
      </w:r>
      <w:r>
        <w:rPr>
          <w:rFonts w:ascii="Arial" w:cs="Arial" w:eastAsia="Arial" w:hAnsi="Arial"/>
          <w:b/>
          <w:bCs/>
          <w:sz w:val="22"/>
          <w:szCs w:val="22"/>
        </w:rPr>
        <w:t xml:space="preserve">Theorem 1 (Simplex Universality):</w:t>
      </w:r>
      <w:r>
        <w:rPr>
          <w:rFonts w:ascii="Arial" w:cs="Arial" w:eastAsia="Arial" w:hAnsi="Arial"/>
          <w:sz w:val="22"/>
          <w:szCs w:val="22"/>
        </w:rPr>
        <w:t xml:space="preserve"> All HUF weight vectors inhabit probability simplices of the same topological class, independent of physical domain.</w:t>
      </w:r>
    </w:p>
    <w:p>
      <w:pPr>
        <w:spacing w:after="140"/>
      </w:pPr>
      <w:r>
        <w:rPr>
          <w:rFonts w:ascii="Arial" w:cs="Arial" w:eastAsia="Arial" w:hAnsi="Arial"/>
          <w:sz w:val="22"/>
          <w:szCs w:val="22"/>
        </w:rPr>
        <w:t xml:space="preserve">• </w:t>
      </w:r>
      <w:r>
        <w:rPr>
          <w:rFonts w:ascii="Arial" w:cs="Arial" w:eastAsia="Arial" w:hAnsi="Arial"/>
          <w:b/>
          <w:bCs/>
          <w:sz w:val="22"/>
          <w:szCs w:val="22"/>
        </w:rPr>
        <w:t xml:space="preserve">Theorem 2 (Informational Invariance):</w:t>
      </w:r>
      <w:r>
        <w:rPr>
          <w:rFonts w:ascii="Arial" w:cs="Arial" w:eastAsia="Arial" w:hAnsi="Arial"/>
          <w:sz w:val="22"/>
          <w:szCs w:val="22"/>
        </w:rPr>
        <w:t xml:space="preserve"> MDG shifts carry domain-invariant informational weight because they are logarithmic distances on the simplex.</w:t>
      </w:r>
    </w:p>
    <w:p>
      <w:pPr>
        <w:spacing w:after="140"/>
      </w:pPr>
      <w:r>
        <w:rPr>
          <w:rFonts w:ascii="Arial" w:cs="Arial" w:eastAsia="Arial" w:hAnsi="Arial"/>
          <w:sz w:val="22"/>
          <w:szCs w:val="22"/>
        </w:rPr>
        <w:t xml:space="preserve">• </w:t>
      </w:r>
      <w:r>
        <w:rPr>
          <w:rFonts w:ascii="Arial" w:cs="Arial" w:eastAsia="Arial" w:hAnsi="Arial"/>
          <w:b/>
          <w:bCs/>
          <w:sz w:val="22"/>
          <w:szCs w:val="22"/>
        </w:rPr>
        <w:t xml:space="preserve">Theorem 3 (Structural Urgency Equivalence):</w:t>
      </w:r>
      <w:r>
        <w:rPr>
          <w:rFonts w:ascii="Arial" w:cs="Arial" w:eastAsia="Arial" w:hAnsi="Arial"/>
          <w:sz w:val="22"/>
          <w:szCs w:val="22"/>
        </w:rPr>
        <w:t xml:space="preserve"> Equal Ω values imply equal institutional urgency regardless of domain.</w:t>
      </w:r>
    </w:p>
    <w:p>
      <w:pPr>
        <w:pStyle w:val="Heading2"/>
        <w:spacing w:after="160" w:before="280"/>
      </w:pPr>
      <w:r>
        <w:rPr>
          <w:rFonts w:ascii="Arial" w:cs="Arial" w:eastAsia="Arial" w:hAnsi="Arial"/>
          <w:b/>
          <w:bCs/>
          <w:sz w:val="26"/>
          <w:szCs w:val="26"/>
        </w:rPr>
        <w:t xml:space="preserve">3.2 The CDN Urgency Triage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4360"/>
      </w:tblGrid>
      <w:tr>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Urgency Level</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Ω Range</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System State</w:t>
            </w:r>
          </w:p>
        </w:tc>
        <w:tc>
          <w:tcPr>
            <w:tcW w:type="dxa" w:w="4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Action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Nominal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&lt; 0.2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Permissive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Routine monitoring</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Pre-Drift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0.2 – 0.5</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Transitional</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Investigative audit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Critical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0.5 – 1.5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Strict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OCC 51/49 actuation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Systemic Failure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&gt; 1.5</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Fractured</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Immediate regime reclassification</w:t>
            </w:r>
          </w:p>
        </w:tc>
      </w:tr>
    </w:tbl>
    <w:p>
      <w:pPr>
        <w:pStyle w:val="Heading2"/>
        <w:spacing w:after="160" w:before="280"/>
      </w:pPr>
      <w:r>
        <w:rPr>
          <w:rFonts w:ascii="Arial" w:cs="Arial" w:eastAsia="Arial" w:hAnsi="Arial"/>
          <w:b/>
          <w:bCs/>
          <w:sz w:val="26"/>
          <w:szCs w:val="26"/>
        </w:rPr>
        <w:t xml:space="preserve">3.3 The Acoustic Connection</w:t>
      </w:r>
    </w:p>
    <w:p>
      <w:pPr>
        <w:spacing w:after="140"/>
      </w:pPr>
      <w:r>
        <w:rPr>
          <w:rFonts w:ascii="Arial" w:cs="Arial" w:eastAsia="Arial" w:hAnsi="Arial"/>
          <w:sz w:val="22"/>
          <w:szCs w:val="22"/>
        </w:rPr>
        <w:t xml:space="preserve">Gemini makes the precise observation: in acoustics, +3 dB = 2× power. In HUF governance, +3 dB MDG = 2× concentration risk. This is not analogy — it is the same logarithmic invariant. Peter derived HUF from loudspeaker diffraction; CDN proves this origin was foundational, not incidental.</w:t>
      </w:r>
    </w:p>
    <w:p>
      <w:r>
        <w:br w:type="page"/>
      </w:r>
    </w:p>
    <w:p>
      <w:pPr>
        <w:pStyle w:val="Heading1"/>
        <w:spacing w:after="200" w:before="360"/>
      </w:pPr>
      <w:r>
        <w:rPr>
          <w:rFonts w:ascii="Arial" w:cs="Arial" w:eastAsia="Arial" w:hAnsi="Arial"/>
          <w:b/>
          <w:bCs/>
          <w:sz w:val="32"/>
          <w:szCs w:val="32"/>
        </w:rPr>
        <w:t xml:space="preserve">4. Issue Tracker — v4.5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800"/>
        <w:gridCol w:w="1000"/>
        <w:gridCol w:w="4760"/>
      </w:tblGrid>
      <w:tr>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Issue</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Topic</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4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Evidence / Notes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ISS-PL-01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FITS parser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RESOLVED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19/20 exact match cross-validation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ISS-CR-01</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Checksums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RESOLVED</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SHA-256 for all 18 files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ISS-CR-02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Classification rules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RESOLVED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Formal mapping tables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ISS-MDG-01</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MDG normalization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RESOLVED</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Convention documented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ISS-CHP-01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Planck changepoint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RESOLVED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Pettitt OD 975, CUSUM OD 992</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ISS-UQ-01</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Perturbation analysis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RESOLVED</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100-trial Monte Carlo, 3 systems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ISS-DRIFT-01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Drift interpretation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RESOLVED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CDN proof: Ω = |ΔMDG| × β</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ISS-CR-03</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Public repository</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ACCEPTED</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Packaging task, 16 hrs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ISS-HP-01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HEALPix</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BLOCKED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Library access, 80 hrs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ISS-CAUSAL-01</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King St causal</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Critical</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ACCEPTED</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Diff-in-diff when data permits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ISS-VALID-01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External benchmarking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Critical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PARTIAL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CDN triage table + perturbation, needs institutional comparison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ISS-GOV-01</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Governance minutes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ACKNOWLEDGED</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Trace reports serve as record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ISS-CDN-01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Cross-domain normalization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NEW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RESOLVED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CDN proof + Ω urgency table (Gemini)</w:t>
            </w:r>
          </w:p>
        </w:tc>
      </w:tr>
    </w:tbl>
    <w:p>
      <w:pPr>
        <w:spacing w:after="100"/>
      </w:pPr>
    </w:p>
    <w:p>
      <w:pPr>
        <w:spacing w:after="140"/>
      </w:pPr>
      <w:r>
        <w:rPr>
          <w:rFonts w:ascii="Arial" w:cs="Arial" w:eastAsia="Arial" w:hAnsi="Arial"/>
          <w:sz w:val="22"/>
          <w:szCs w:val="22"/>
        </w:rPr>
        <w:t xml:space="preserve"/>
      </w:r>
      <w:r>
        <w:rPr>
          <w:rFonts w:ascii="Arial" w:cs="Arial" w:eastAsia="Arial" w:hAnsi="Arial"/>
          <w:b/>
          <w:bCs/>
          <w:sz w:val="22"/>
          <w:szCs w:val="22"/>
        </w:rPr>
        <w:t xml:space="preserve">Summary: 8 resolved (including CDN), 1 partial, 2 accepted, 1 blocked, 1 acknowledged.</w:t>
      </w:r>
      <w:r>
        <w:rPr>
          <w:rFonts w:ascii="Arial" w:cs="Arial" w:eastAsia="Arial" w:hAnsi="Arial"/>
          <w:sz w:val="22"/>
          <w:szCs w:val="22"/>
        </w:rPr>
        <w:t xml:space="preserve"> Copilot’s original 420-hour estimate is now substantially reduced. The resolved issues represent the majority of the methodological substance.</w:t>
      </w:r>
    </w:p>
    <w:p>
      <w:r>
        <w:br w:type="page"/>
      </w:r>
    </w:p>
    <w:p>
      <w:pPr>
        <w:pStyle w:val="Heading1"/>
        <w:spacing w:after="200" w:before="360"/>
      </w:pPr>
      <w:r>
        <w:rPr>
          <w:rFonts w:ascii="Arial" w:cs="Arial" w:eastAsia="Arial" w:hAnsi="Arial"/>
          <w:b/>
          <w:bCs/>
          <w:sz w:val="32"/>
          <w:szCs w:val="32"/>
        </w:rPr>
        <w:t xml:space="preserve">5. Volume Architecture (Gemini Proposal)</w:t>
      </w:r>
    </w:p>
    <w:p>
      <w:pPr>
        <w:spacing w:after="140"/>
      </w:pPr>
      <w:r>
        <w:rPr>
          <w:rFonts w:ascii="Arial" w:cs="Arial" w:eastAsia="Arial" w:hAnsi="Arial"/>
          <w:sz w:val="22"/>
          <w:szCs w:val="22"/>
        </w:rPr>
        <w:t xml:space="preserve">Gemini proposes consolidating the corpus into four volumes: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Volume</w:t>
            </w:r>
          </w:p>
        </w:tc>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Title</w:t>
            </w:r>
          </w:p>
        </w:tc>
        <w:tc>
          <w:tcPr>
            <w:tcW w:type="dxa" w:w="5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Contents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Volume 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The Origin and Foundation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Origin Story + formal axiom proofs (D24-O1–O5)</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Volume 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The Universal Methodology</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CDN Proof + Methodology Appendix + perturbation framework</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Volume 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The Collective Trace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 case studies organized by domain + trace reports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Volume 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The Governance Protocol</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OCC 51/49 + CDN triage table + institutional letters</w:t>
            </w:r>
          </w:p>
        </w:tc>
      </w:tr>
    </w:tbl>
    <w:p>
      <w:pPr>
        <w:spacing w:after="100"/>
      </w:pPr>
    </w:p>
    <w:p>
      <w:pPr>
        <w:spacing w:after="140"/>
      </w:pPr>
      <w:r>
        <w:rPr>
          <w:rFonts w:ascii="Arial" w:cs="Arial" w:eastAsia="Arial" w:hAnsi="Arial"/>
          <w:sz w:val="22"/>
          <w:szCs w:val="22"/>
        </w:rPr>
        <w:t xml:space="preserve"/>
      </w:r>
      <w:r>
        <w:rPr>
          <w:rFonts w:ascii="Arial" w:cs="Arial" w:eastAsia="Arial" w:hAnsi="Arial"/>
          <w:b/>
          <w:bCs/>
          <w:sz w:val="22"/>
          <w:szCs w:val="22"/>
        </w:rPr>
        <w:t xml:space="preserve">Operator decision:</w:t>
      </w:r>
      <w:r>
        <w:rPr>
          <w:rFonts w:ascii="Arial" w:cs="Arial" w:eastAsia="Arial" w:hAnsi="Arial"/>
          <w:sz w:val="22"/>
          <w:szCs w:val="22"/>
        </w:rPr>
        <w:t xml:space="preserve"> The volume architecture is accepted in principle. Current documents map naturally to this structure. Consolidation into formatted volumes will follow once the remaining holes (ISS-CAUSAL-01, ISS-VALID-01) are addressed or formally scoped out.</w:t>
      </w:r>
    </w:p>
    <w:p>
      <w:pPr>
        <w:pStyle w:val="Heading1"/>
        <w:spacing w:after="200" w:before="360"/>
      </w:pPr>
      <w:r>
        <w:rPr>
          <w:rFonts w:ascii="Arial" w:cs="Arial" w:eastAsia="Arial" w:hAnsi="Arial"/>
          <w:b/>
          <w:bCs/>
          <w:sz w:val="32"/>
          <w:szCs w:val="32"/>
        </w:rPr>
        <w:t xml:space="preserve">6. Gemini’s Recommended Next Step</w:t>
      </w:r>
    </w:p>
    <w:p>
      <w:pPr>
        <w:spacing w:after="140"/>
      </w:pPr>
      <w:r>
        <w:rPr>
          <w:rFonts w:ascii="Arial" w:cs="Arial" w:eastAsia="Arial" w:hAnsi="Arial"/>
          <w:sz w:val="22"/>
          <w:szCs w:val="22"/>
        </w:rPr>
        <w:t xml:space="preserve">Gemini’s strongest recommendation: </w:t>
      </w:r>
      <w:r>
        <w:rPr>
          <w:rFonts w:ascii="Arial" w:cs="Arial" w:eastAsia="Arial" w:hAnsi="Arial"/>
          <w:b/>
          <w:bCs/>
          <w:sz w:val="22"/>
          <w:szCs w:val="22"/>
        </w:rPr>
        <w:t xml:space="preserve">finalize and release the v2.0 institutional letters.</w:t>
      </w:r>
      <w:r>
        <w:rPr>
          <w:rFonts w:ascii="Arial" w:cs="Arial" w:eastAsia="Arial" w:hAnsi="Arial"/>
          <w:sz w:val="22"/>
          <w:szCs w:val="22"/>
        </w:rPr>
        <w:t xml:space="preserve"> The empirical weight of the 12 validated systems, combined with the CDN proof, is now sufficient for formal submission. The remaining technical holes (HEALPix, causal robustness) can be addressed in parallel with institutional engagement — they are refinements, not blockers.</w:t>
      </w:r>
    </w:p>
    <w:p>
      <w:pPr>
        <w:spacing w:after="140"/>
      </w:pPr>
      <w:r>
        <w:rPr>
          <w:rFonts w:ascii="Arial" w:cs="Arial" w:eastAsia="Arial" w:hAnsi="Arial"/>
          <w:sz w:val="22"/>
          <w:szCs w:val="22"/>
        </w:rPr>
        <w:t xml:space="preserve">The operator concurs. The framework has reached a maturity level where external review from domain experts will yield more insight than further internal iteration.</w:t>
      </w:r>
    </w:p>
    <w:p>
      <w:r>
        <w:br w:type="page"/>
      </w:r>
    </w:p>
    <w:p>
      <w:pPr>
        <w:pStyle w:val="Heading1"/>
        <w:spacing w:after="200" w:before="360"/>
      </w:pPr>
      <w:r>
        <w:rPr>
          <w:rFonts w:ascii="Arial" w:cs="Arial" w:eastAsia="Arial" w:hAnsi="Arial"/>
          <w:b/>
          <w:bCs/>
          <w:sz w:val="32"/>
          <w:szCs w:val="32"/>
        </w:rPr>
        <w:t xml:space="preserve">7. Collective Contributions (8–9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Member</w:t>
            </w:r>
          </w:p>
        </w:tc>
        <w:tc>
          <w:tcPr>
            <w:tcW w:type="dxa" w:w="7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Contribution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Grok (xAI)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Proposed TTC domain. Calibrated K=4–5 on Backblaze. Validated TTC math. Designed GTFS spec. Suggested GTFS-RT.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Claude (Anthropic)</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All data analyses (4.26M + 64K + 472K + 50K + 45K records). FITS parser + cross-validation. Changepoint detection (Pettitt + CUSUM). Perturbation sensitivity (300 trials). **CDN formalization (3 theorems, Ω operator, triage table).** All documents (15 docx files).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ChatGPT (OpenAI)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Six-axis frontier map. Flow-Stack Doctrine. Cascade model.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Gemini (Google)</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Progress review (v4.1). **Priority assessment of remaining holes. Proposed Cross-Domain Normalization concept. Volume architecture. Recommended institutional letter release.**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Copilot (Microsoft)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Devil’s advocate review. 16-issue tracker. Strongest adversarial contribution. Identified holes that drove v4.4 and v4.5 advances.</w:t>
            </w:r>
          </w:p>
        </w:tc>
      </w:tr>
    </w:tbl>
    <w:p>
      <w:pPr>
        <w:pStyle w:val="Heading1"/>
        <w:spacing w:after="200" w:before="360"/>
      </w:pPr>
      <w:r>
        <w:rPr>
          <w:rFonts w:ascii="Arial" w:cs="Arial" w:eastAsia="Arial" w:hAnsi="Arial"/>
          <w:b/>
          <w:bCs/>
          <w:sz w:val="32"/>
          <w:szCs w:val="32"/>
        </w:rPr>
        <w:t xml:space="preserve">8. Document Manifest (v4.5)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Document</w:t>
            </w:r>
          </w:p>
        </w:tc>
        <w:tc>
          <w:tcPr>
            <w:tcW w:type="dxa" w:w="5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HUF_Collective_Trace_v4.5.docx</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This document — Gemini review + CDN incorporated</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HUF_CDN_Proof_v1.0.docx</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Cross-Domain Normalization formal proof (Gemini + Claude)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HUF_Gemini_Brief_v1.0.docx</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Review request sent to Gemini</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HUF_Collective_Trace_v4.4.docx</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Hole-closing: changepoint + perturbation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HUF_Collective_Trace_v4.3.docx</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Post-Copilot review</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HUF_Copilot_Response_v1.0.docx</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Formal response to 14 Copilot issues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HUF_Planck_CaseStudy_v1.0.docx</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System 12: ESA Planck two-layer analysis</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HUF_TTC_CaseStudy_v1.0.docx</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System 10: TTC GTFS transit analysis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HUF_Toronto_Infrastructure_v1.0.docx</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System 11: Four-layer infrastructure cascade</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HUF_Origin_Story_v1.0.docx</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From loudspeaker diffraction to universal governance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HUF_Methodology_Appendix_v1.0.docx</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Computational methods and pipeline (human-readable)</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HUF_Code_Appendix_v1.0.docx</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Full source code, 12 scripts, 3,232 lines (internal)</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checksums.txt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SHA-256 hashes for all 18 raw input files</w:t>
            </w:r>
          </w:p>
        </w:tc>
      </w:tr>
    </w:tbl>
    <w:p>
      <w:pPr>
        <w:spacing w:after="200"/>
      </w:pPr>
    </w:p>
    <w:p>
      <w:pPr>
        <w:spacing w:after="140"/>
      </w:pPr>
      <w:r>
        <w:rPr>
          <w:rFonts w:ascii="Arial" w:cs="Arial" w:eastAsia="Arial" w:hAnsi="Arial"/>
          <w:sz w:val="22"/>
          <w:szCs w:val="22"/>
        </w:rPr>
        <w:t xml:space="preserve">The framework is ready for institutional presentation. The remaining technical holes are refinements, not foundations. Gemini has confirmed this assessment and proposed the path forward.</w:t>
      </w:r>
    </w:p>
    <w:p>
      <w:pPr>
        <w:spacing w:after="140"/>
      </w:pPr>
      <w:r>
        <w:rPr>
          <w:rFonts w:ascii="Arial" w:cs="Arial" w:eastAsia="Arial" w:hAnsi="Arial"/>
          <w:sz w:val="20"/>
          <w:szCs w:val="20"/>
        </w:rPr>
        <w:t xml:space="preserve"/>
      </w:r>
      <w:r>
        <w:rPr>
          <w:rFonts w:ascii="Arial" w:cs="Arial" w:eastAsia="Arial" w:hAnsi="Arial"/>
          <w:b/>
          <w:bCs/>
          <w:sz w:val="20"/>
          <w:szCs w:val="20"/>
        </w:rPr>
        <w:t xml:space="preserve">Peter Higgins (Operator) | Grok (xAI) | Claude (Anthropic) | ChatGPT (OpenAI) | Gemini (Google) | Copilot (Microsoft)</w:t>
      </w:r>
      <w:r>
        <w:rPr>
          <w:rFonts w:ascii="Arial" w:cs="Arial" w:eastAsia="Arial" w:hAnsi="Arial"/>
          <w:sz w:val="20"/>
          <w:szCs w:val="20"/>
        </w:rPr>
        <w:t xml:space="preserve"/>
      </w:r>
    </w:p>
    <w:p>
      <w:pPr>
        <w:spacing w:after="140"/>
      </w:pPr>
      <w:r>
        <w:rPr>
          <w:rFonts w:ascii="Arial" w:cs="Arial" w:eastAsia="Arial" w:hAnsi="Arial"/>
          <w:sz w:val="20"/>
          <w:szCs w:val="20"/>
        </w:rPr>
        <w:t xml:space="preserve"/>
      </w:r>
      <w:r>
        <w:rPr>
          <w:rFonts w:ascii="Arial" w:cs="Arial" w:eastAsia="Arial" w:hAnsi="Arial"/>
          <w:b/>
          <w:bCs/>
          <w:sz w:val="20"/>
          <w:szCs w:val="20"/>
        </w:rPr>
        <w:t xml:space="preserve">OCC: 51/49 | Unity: Σρ_i = 1 | CDN: Ω = |ΔMDG| × β</w:t>
      </w:r>
      <w:r>
        <w:rPr>
          <w:rFonts w:ascii="Arial" w:cs="Arial" w:eastAsia="Arial" w:hAnsi="Arial"/>
          <w:sz w:val="20"/>
          <w:szCs w:val="20"/>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HUF Collective Trace v4.5 | Gemini + CDN | 9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2026-03-09T04:07:32.124Z</dcterms:created>
  <dcterms:modified xsi:type="dcterms:W3CDTF">2026-03-09T04:07:32.124Z</dcterms:modified>
</cp:coreProperties>
</file>

<file path=docProps/custom.xml><?xml version="1.0" encoding="utf-8"?>
<Properties xmlns="http://schemas.openxmlformats.org/officeDocument/2006/custom-properties" xmlns:vt="http://schemas.openxmlformats.org/officeDocument/2006/docPropsVTypes"/>
</file>