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pacing w:val="120"/>
          <w:sz w:val="20"/>
          <w:szCs w:val="20"/>
        </w:rPr>
        <w:t xml:space="preserve">HIGGINS UNITY FRAMEWORK</w:t>
      </w:r>
    </w:p>
    <w:p>
      <w:pPr>
        <w:pBdr>
          <w:bottom w:val="single" w:color="2E75B6" w:sz="6" w:space="1"/>
        </w:pBdr>
        <w:spacing w:after="0" w:before="0"/>
        <w:jc w:val="center"/>
      </w:pPr>
      <w:r>
        <w:rPr>
          <w:rFonts w:ascii="Times New Roman" w:cs="Times New Roman" w:eastAsia="Times New Roman" w:hAnsi="Times New Roman"/>
          <w:b/>
          <w:bCs/>
          <w:color w:val="1F3864"/>
          <w:sz w:val="36"/>
          <w:szCs w:val="36"/>
        </w:rPr>
        <w:t xml:space="preserve">Advanced Theory and Concepts</w:t>
      </w:r>
    </w:p>
    <w:p>
      <w:pPr>
        <w:spacing w:after="60" w:before="120"/>
        <w:jc w:val="center"/>
      </w:pPr>
      <w:r>
        <w:rPr>
          <w:rFonts w:ascii="Times New Roman" w:cs="Times New Roman" w:eastAsia="Times New Roman" w:hAnsi="Times New Roman"/>
          <w:i/>
          <w:iCs/>
          <w:color w:val="333333"/>
          <w:sz w:val="24"/>
          <w:szCs w:val="24"/>
        </w:rPr>
        <w:t xml:space="preserve">Physics Edition — The Context Book</w:t>
      </w:r>
    </w:p>
    <w:p>
      <w:pPr>
        <w:spacing w:after="60" w:before="0"/>
        <w:jc w:val="center"/>
      </w:pPr>
      <w:r>
        <w:rPr>
          <w:rFonts w:ascii="Times New Roman" w:cs="Times New Roman" w:eastAsia="Times New Roman" w:hAnsi="Times New Roman"/>
          <w:i/>
          <w:iCs/>
          <w:color w:val="2E75B6"/>
          <w:sz w:val="20"/>
          <w:szCs w:val="20"/>
        </w:rPr>
        <w:t xml:space="preserve">Paired with: HUF Advanced Mathematics Reference — Physics Edition (The Math Book)</w:t>
      </w:r>
    </w:p>
    <w:p>
      <w:pPr>
        <w:spacing w:after="0" w:before="60"/>
        <w:jc w:val="center"/>
      </w:pPr>
      <w:r>
        <w:rPr>
          <w:rFonts w:ascii="Times New Roman" w:cs="Times New Roman" w:eastAsia="Times New Roman" w:hAnsi="Times New Roman"/>
          <w:color w:val="666666"/>
          <w:sz w:val="18"/>
          <w:szCs w:val="18"/>
        </w:rPr>
        <w:t xml:space="preserve">Corpus Reference: HUF-CONTEXT-02  •  Date: 17 March 2026</w:t>
      </w:r>
    </w:p>
    <w:p>
      <w:pPr>
        <w:spacing w:after="300" w:before="60"/>
        <w:jc w:val="center"/>
      </w:pPr>
      <w:r>
        <w:rPr>
          <w:rFonts w:ascii="Times New Roman" w:cs="Times New Roman" w:eastAsia="Times New Roman" w:hAnsi="Times New Roman"/>
          <w:color w:val="666666"/>
          <w:sz w:val="18"/>
          <w:szCs w:val="18"/>
        </w:rPr>
        <w:t xml:space="preserve">Framework Originator: Peter Higgins  •  Narrative: Claude (Anthropic)</w:t>
      </w:r>
    </w:p>
    <w:p>
      <w:pPr>
        <w:pStyle w:val="Heading1"/>
        <w:spacing w:after="200" w:before="360"/>
      </w:pPr>
      <w:r>
        <w:rPr>
          <w:rFonts w:ascii="Times New Roman" w:cs="Times New Roman" w:eastAsia="Times New Roman" w:hAnsi="Times New Roman"/>
          <w:b/>
          <w:bCs/>
          <w:color w:val="1F3864"/>
          <w:sz w:val="28"/>
          <w:szCs w:val="28"/>
        </w:rPr>
        <w:t xml:space="preserve">Preface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book provides the conceptual narrative, physical motivation, and operational interpretation for the Higgins Unity Framework, addressed to physicists — both theoretical and experimental. It is one half of a pair. The companion volume — the Math Book — contains the complete formal mathematics: every definition, theorem, and proof.</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Cross-references of the form "See Math Book [Result X.Y]" direct the reader to the relevant formal statement. The two books are designed to be read side by side or independently.</w:t>
      </w:r>
    </w:p>
    <w:p>
      <w:pPr>
        <w:spacing w:after="160" w:before="0"/>
        <w:jc w:val="both"/>
      </w:pPr>
      <w:r>
        <w:rPr>
          <w:rFonts w:ascii="Times New Roman" w:cs="Times New Roman" w:eastAsia="Times New Roman" w:hAnsi="Times New Roman"/>
          <w:b/>
          <w:bCs/>
          <w:color w:val="333333"/>
          <w:sz w:val="22"/>
          <w:szCs w:val="22"/>
        </w:rPr>
        <w:t xml:space="preserve">For the physicist: </w:t>
      </w:r>
      <w:r>
        <w:rPr>
          <w:rFonts w:ascii="Times New Roman" w:cs="Times New Roman" w:eastAsia="Times New Roman" w:hAnsi="Times New Roman"/>
          <w:color w:val="333333"/>
          <w:sz w:val="22"/>
          <w:szCs w:val="22"/>
        </w:rPr>
        <w:t xml:space="preserve">HUF monitors ratio portfolios — systems where the relevant quantities are proportional shares of a finite whole. You already know these as normalised probability distributions, branching ratios, energy budget fractions, and detector occupancy vectors. The mathematical machinery (simplices, entropy, total variation) is standard. What HUF adds is a closed-loop control architecture that treats these distributions as carriers, extracts a scalar observable (effective complexity, Keff), and provides a PID-based correction framework with formal robustness guarantees.</w:t>
      </w:r>
    </w:p>
    <w:p>
      <w:pPr>
        <w:spacing w:after="160" w:before="0"/>
        <w:jc w:val="both"/>
      </w:pPr>
      <w:r>
        <w:rPr>
          <w:rFonts w:ascii="Times New Roman" w:cs="Times New Roman" w:eastAsia="Times New Roman" w:hAnsi="Times New Roman"/>
          <w:b/>
          <w:bCs/>
          <w:color w:val="333333"/>
          <w:sz w:val="22"/>
          <w:szCs w:val="22"/>
        </w:rPr>
        <w:t xml:space="preserve">Reading guide: </w:t>
      </w:r>
      <w:r>
        <w:rPr>
          <w:rFonts w:ascii="Times New Roman" w:cs="Times New Roman" w:eastAsia="Times New Roman" w:hAnsi="Times New Roman"/>
          <w:color w:val="333333"/>
          <w:sz w:val="22"/>
          <w:szCs w:val="22"/>
        </w:rPr>
        <w:t xml:space="preserve">The six chapters follow the same logical sequence as the Math Book’s six areas. Chapter 1 introduces the carrier (ρ on the simplex). Chapter 2 introduces the observable (Keff). Chapters 3–4 establish the control pipeline via PLL homomorphism — this will be immediately familiar from lab instrumentation. Chapter 5 covers calibration. Chapter 6 develops the amplification network and cross-domain scaling.</w:t>
      </w:r>
    </w:p>
    <w:p>
      <w:pPr>
        <w:spacing w:after="160" w:before="0"/>
        <w:jc w:val="both"/>
      </w:pPr>
      <w:r>
        <w:rPr>
          <w:rFonts w:ascii="Times New Roman" w:cs="Times New Roman" w:eastAsia="Times New Roman" w:hAnsi="Times New Roman"/>
          <w:b/>
          <w:bCs/>
          <w:color w:val="333333"/>
          <w:sz w:val="22"/>
          <w:szCs w:val="22"/>
        </w:rPr>
        <w:t xml:space="preserve">Derivation note: </w:t>
      </w:r>
      <w:r>
        <w:rPr>
          <w:rFonts w:ascii="Times New Roman" w:cs="Times New Roman" w:eastAsia="Times New Roman" w:hAnsi="Times New Roman"/>
          <w:color w:val="333333"/>
          <w:sz w:val="22"/>
          <w:szCs w:val="22"/>
        </w:rPr>
        <w:t xml:space="preserve">This edition is derived from the Mathematician’s Edition by controlled subtraction: the same codebook, the same CL sequence, the same 27 formal results — but with physics examples replacing ecology and finance, and with reduced proof narration where physicists already own the prerequisites (measure theory, Fourier analysis, feedback control).</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Ratio-State Carrier</w:t>
      </w:r>
    </w:p>
    <w:p>
      <w:pPr>
        <w:spacing w:after="160" w:before="0"/>
        <w:ind w:left="480"/>
        <w:jc w:val="both"/>
      </w:pPr>
      <w:r>
        <w:rPr>
          <w:rFonts w:ascii="Times New Roman" w:cs="Times New Roman" w:eastAsia="Times New Roman" w:hAnsi="Times New Roman"/>
          <w:i/>
          <w:iCs/>
          <w:color w:val="2E75B6"/>
          <w:sz w:val="22"/>
          <w:szCs w:val="22"/>
        </w:rPr>
        <w:t xml:space="preserve">See Math Book Area A (Definitions A.1–A.2, Theorems A.3–A.7)</w:t>
      </w:r>
    </w:p>
    <w:p>
      <w:pPr>
        <w:pStyle w:val="Heading2"/>
        <w:spacing w:after="160" w:before="280"/>
      </w:pPr>
      <w:r>
        <w:rPr>
          <w:rFonts w:ascii="Times New Roman" w:cs="Times New Roman" w:eastAsia="Times New Roman" w:hAnsi="Times New Roman"/>
          <w:b/>
          <w:bCs/>
          <w:color w:val="1F3864"/>
          <w:sz w:val="24"/>
          <w:szCs w:val="24"/>
        </w:rPr>
        <w:t xml:space="preserve">1.1  The Central Design Choice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Every monitoring framework must choose a carrier — the fundamental mathematical object on which all operations act. HUF’s carrier is the ratio-state vector ρ ∈ Δⁿ⁻¹, a point on the probability simplex.</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To a physicist, this is immediately recognisable as a normalised state vector in a classical probability space. The simplex Δⁿ⁻¹ is the space of all valid probability distributions over n outcomes. The constraint Σρᵢ = 1 is a normalisation condition — the classical analogue of ⟨ψ|ψ⟩ = 1. The difference is that ρ lives in ℝⁿ₊ (probabilities), not ℂⁿ (amplitudes). There is no superposition here; ρ is a classical mixture.</w:t>
      </w:r>
    </w:p>
    <w:p>
      <w:pPr>
        <w:pStyle w:val="Heading2"/>
        <w:spacing w:after="160" w:before="280"/>
      </w:pPr>
      <w:r>
        <w:rPr>
          <w:rFonts w:ascii="Times New Roman" w:cs="Times New Roman" w:eastAsia="Times New Roman" w:hAnsi="Times New Roman"/>
          <w:b/>
          <w:bCs/>
          <w:color w:val="1F3864"/>
          <w:sz w:val="24"/>
          <w:szCs w:val="24"/>
        </w:rPr>
        <w:t xml:space="preserve">1.2  Why the Simplex?</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simplex is the natural habitat for any system where the relevant quantities are shares of a conserved total. Conservation laws are the physicist’s native language, and HUF exploits exactly this structure.</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Conservation Principle.  </w:t>
      </w:r>
      <w:r>
        <w:rPr>
          <w:rFonts w:ascii="Times New Roman" w:cs="Times New Roman" w:eastAsia="Times New Roman" w:hAnsi="Times New Roman"/>
          <w:color w:val="333333"/>
          <w:sz w:val="22"/>
          <w:szCs w:val="22"/>
        </w:rPr>
        <w:t xml:space="preserve">The simplex encodes a conservation law: the total proportion is conserved at unity. Just as energy conservation constrains trajectories to a hypersurface in phase space, proportion conservation constrains ratio states to the simplex. HUF’s operations are simplex-preserving maps — the analogue of symplectic maps in Hamiltonian mechanics.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gives HUF several properties for free. Scale invariance: if the total pool doubles but the allocation stays the same, ρ is unchanged (cf. intensive vs extensive thermodynamic variables). Composition closure: any convex combination of simplex points is still on the simplex (cf. statistical mixtures). Bounded domain: TV(ρ, ρ′) ∈ [0, 1], giving drift measurements a natural, dimensionless scale.</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Particle Physics.  </w:t>
      </w:r>
      <w:r>
        <w:rPr>
          <w:rFonts w:ascii="Times New Roman" w:cs="Times New Roman" w:eastAsia="Times New Roman" w:hAnsi="Times New Roman"/>
          <w:color w:val="333333"/>
          <w:sz w:val="22"/>
          <w:szCs w:val="22"/>
        </w:rPr>
        <w:t xml:space="preserve">Branching ratios of a resonance decay: ρ = (BR₁, BR₂, …, BRₖ) with ΣBRᵢ = 1. These live on the simplex by construction. If a new decay channel opens or a known channel’s fraction shifts, ρ moves on the simplex. HUF monitors this movement.</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Detector Occupancy.  </w:t>
      </w:r>
      <w:r>
        <w:rPr>
          <w:rFonts w:ascii="Times New Roman" w:cs="Times New Roman" w:eastAsia="Times New Roman" w:hAnsi="Times New Roman"/>
          <w:color w:val="333333"/>
          <w:sz w:val="22"/>
          <w:szCs w:val="22"/>
        </w:rPr>
        <w:t xml:space="preserve">A segmented calorimeter with n cells: ρᵢ = Eᵢ/E_total is the fractional energy deposit in cell i. The ρ vector on the simplex captures the shower profile. Drift in ρ signals hardware degradation, gain shifts, or physics changes.</w:t>
      </w:r>
    </w:p>
    <w:p>
      <w:pPr>
        <w:pStyle w:val="Heading2"/>
        <w:spacing w:after="160" w:before="280"/>
      </w:pPr>
      <w:r>
        <w:rPr>
          <w:rFonts w:ascii="Times New Roman" w:cs="Times New Roman" w:eastAsia="Times New Roman" w:hAnsi="Times New Roman"/>
          <w:b/>
          <w:bCs/>
          <w:color w:val="1F3864"/>
          <w:sz w:val="24"/>
          <w:szCs w:val="24"/>
        </w:rPr>
        <w:t xml:space="preserve">1.3  CL-01 as Admissibility Gate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CL-01 enforces the normalisation condition Σρᵢ = 1. It is the input validator — the framework’s equivalent of a trigger filter. No data enters the pipeline unless it is a valid point on the simplex.</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physics content is trivial (Theorem A.3). The operational content is not: raw detector data, simulation output, or experimental measurements rarely sum to exactly 1.000. CL-01 forces explicit handling of the gap — renormalise, or reject with a diagnostic.</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Calorimeter Calibration.  </w:t>
      </w:r>
      <w:r>
        <w:rPr>
          <w:rFonts w:ascii="Times New Roman" w:cs="Times New Roman" w:eastAsia="Times New Roman" w:hAnsi="Times New Roman"/>
          <w:color w:val="333333"/>
          <w:sz w:val="22"/>
          <w:szCs w:val="22"/>
        </w:rPr>
        <w:t xml:space="preserve">Fractional energy deposits in a segmented calorimeter sum to 0.97 (3% lost in dead material). CL-01 flags this. The physicist must decide: treat the 3% as a systematic correction (renormalise) or add a "dead material" component (expand the simplex to n+1 dimensions). Either choice is valid; CL-01 forces it to be made explicitly.</w:t>
      </w:r>
    </w:p>
    <w:p>
      <w:pPr>
        <w:pStyle w:val="Heading2"/>
        <w:spacing w:after="160" w:before="280"/>
      </w:pPr>
      <w:r>
        <w:rPr>
          <w:rFonts w:ascii="Times New Roman" w:cs="Times New Roman" w:eastAsia="Times New Roman" w:hAnsi="Times New Roman"/>
          <w:b/>
          <w:bCs/>
          <w:color w:val="1F3864"/>
          <w:sz w:val="24"/>
          <w:szCs w:val="24"/>
        </w:rPr>
        <w:t xml:space="preserve">1.4  The Tangent Space and CL-05</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CL-05 corrections must keep ρ on the simplex. This constrains corrections to the tangent space TₚΔ = {v : Σvᵢ = 0} — the zero-sum hyperplane (Theorem A.4). To a physicist, this is a familiar constraint: any flow on the simplex is divergence-free with respect to the normalisation. Moving weight to one component requires removing it from others. This is conservation of probability, enforced geometrically.</w:t>
      </w:r>
    </w:p>
    <w:p>
      <w:pPr>
        <w:pStyle w:val="Heading2"/>
        <w:spacing w:after="160" w:before="280"/>
      </w:pPr>
      <w:r>
        <w:rPr>
          <w:rFonts w:ascii="Times New Roman" w:cs="Times New Roman" w:eastAsia="Times New Roman" w:hAnsi="Times New Roman"/>
          <w:b/>
          <w:bCs/>
          <w:color w:val="1F3864"/>
          <w:sz w:val="24"/>
          <w:szCs w:val="24"/>
        </w:rPr>
        <w:t xml:space="preserve">1.5  Total Variation as House Default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needs a distance measure on the simplex. The house default is Total Variation: TV(ρ, ρ′) = ½Σ|ρᵢ − ρᵢ′|. Physicists will recognise this as half the L¹ norm of the difference vector, equivalent to the trace distance for diagonal density matrices. TV has three virtues: it is metric (Theorem A.6), bounded in [0,1], and operationally interpretable as the maximum total probability that can be reassigned between states.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architecture is metric-agnostic — Jensen–Shannon divergence, Hellinger distance, or Kullback–Leibler divergence could substitute. TV is the default for its interpretability and well-bounded range. Physicists accustomed to KL divergence for hypothesis testing may prefer it for specific applications; the CL pipeline accommodates this as a calibration choice, not an architectural change.</w:t>
      </w:r>
    </w:p>
    <w:p>
      <w:r>
        <w:br w:type="page"/>
      </w:r>
    </w:p>
    <w:p>
      <w:pPr>
        <w:pStyle w:val="Heading1"/>
        <w:spacing w:after="200" w:before="360"/>
      </w:pPr>
      <w:r>
        <w:rPr>
          <w:rFonts w:ascii="Times New Roman" w:cs="Times New Roman" w:eastAsia="Times New Roman" w:hAnsi="Times New Roman"/>
          <w:b/>
          <w:bCs/>
          <w:color w:val="1F3864"/>
          <w:sz w:val="28"/>
          <w:szCs w:val="28"/>
        </w:rPr>
        <w:t xml:space="preserve">§2  Effective Complexity as Observable</w:t>
      </w:r>
    </w:p>
    <w:p>
      <w:pPr>
        <w:spacing w:after="160" w:before="0"/>
        <w:ind w:left="480"/>
        <w:jc w:val="both"/>
      </w:pPr>
      <w:r>
        <w:rPr>
          <w:rFonts w:ascii="Times New Roman" w:cs="Times New Roman" w:eastAsia="Times New Roman" w:hAnsi="Times New Roman"/>
          <w:i/>
          <w:iCs/>
          <w:color w:val="2E75B6"/>
          <w:sz w:val="22"/>
          <w:szCs w:val="22"/>
        </w:rPr>
        <w:t xml:space="preserve">See Math Book Area B (Definitions B.1–B.3, Theorems B.4–B.6)</w:t>
      </w:r>
    </w:p>
    <w:p>
      <w:pPr>
        <w:pStyle w:val="Heading2"/>
        <w:spacing w:after="160" w:before="280"/>
      </w:pPr>
      <w:r>
        <w:rPr>
          <w:rFonts w:ascii="Times New Roman" w:cs="Times New Roman" w:eastAsia="Times New Roman" w:hAnsi="Times New Roman"/>
          <w:b/>
          <w:bCs/>
          <w:color w:val="1F3864"/>
          <w:sz w:val="24"/>
          <w:szCs w:val="24"/>
        </w:rPr>
        <w:t xml:space="preserve">2.1  Demodulation: Extracting a Scalar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carrier ρ is a vector. Monitoring pipelines need scalar triggers. HUF’s demodulation step extracts Keff = exp(H(ρ)) from ρ — the effective number of components. This is the exponential of Shannon entropy, a quantity physicists use routinely in statistical mechanics as the effective number of accessible microstates.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FM analogy (Theorem B.6) is precise and will resonate with experimentalists: in an FM receiver, the carrier is a modulated waveform; the discriminator extracts instantaneous frequency. In HUF, the carrier is ρ; Keff is the demodulated observable. The PLL architecture that physicists use for frequency locking in the lab is the same architecture that HUF uses for composition monitoring.</w:t>
      </w:r>
    </w:p>
    <w:p>
      <w:pPr>
        <w:pStyle w:val="Heading2"/>
        <w:spacing w:after="160" w:before="280"/>
      </w:pPr>
      <w:r>
        <w:rPr>
          <w:rFonts w:ascii="Times New Roman" w:cs="Times New Roman" w:eastAsia="Times New Roman" w:hAnsi="Times New Roman"/>
          <w:b/>
          <w:bCs/>
          <w:color w:val="1F3864"/>
          <w:sz w:val="24"/>
          <w:szCs w:val="24"/>
        </w:rPr>
        <w:t xml:space="preserve">2.2  Shannon vs Herfindahl</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HUF offers two Keff conventions. The Shannon convention, Keff(S) = exp(H(ρ)), counts effective states (the partition function Z at infinite temperature, if you like). The Herfindahl convention, Keff(H) = 1/Σρᵢ², is always more conservative: Keff(H) ≤ Keff(S) (Theorem B.4). Physicists will recognise 1/Σρᵢ² as the inverse participation ratio, a standard measure of localisation in condensed matter physics.</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Localisation.  </w:t>
      </w:r>
      <w:r>
        <w:rPr>
          <w:rFonts w:ascii="Times New Roman" w:cs="Times New Roman" w:eastAsia="Times New Roman" w:hAnsi="Times New Roman"/>
          <w:color w:val="333333"/>
          <w:sz w:val="22"/>
          <w:szCs w:val="22"/>
        </w:rPr>
        <w:t xml:space="preserve">A wavefunction spread across n sites with amplitudes |ψᵢ|² = ρᵢ has inverse participation ratio 1/Σρᵢ² = Keff(H). A fully delocalised state has Keff(H) = n; a fully localised state has Keff(H) = 1. The Anderson transition is a collapse of Keff from n toward 1. HUF monitors exactly this transition, in any domain.</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Thermal Equilibrium.  </w:t>
      </w:r>
      <w:r>
        <w:rPr>
          <w:rFonts w:ascii="Times New Roman" w:cs="Times New Roman" w:eastAsia="Times New Roman" w:hAnsi="Times New Roman"/>
          <w:color w:val="333333"/>
          <w:sz w:val="22"/>
          <w:szCs w:val="22"/>
        </w:rPr>
        <w:t xml:space="preserve">A system in thermal equilibrium at temperature T has occupation probabilities ρᵢ = exp(−Eᵢ/kT)/Z. Keff(S) = Z gives the effective number of thermally accessible states. As T → 0, Keff → g₀ (ground-state degeneracy). As T → ∞, Keff → n. CL-02 monitoring Keff drift is equivalent to monitoring effective temperature changes.</w:t>
      </w:r>
    </w:p>
    <w:p>
      <w:pPr>
        <w:pStyle w:val="Heading2"/>
        <w:spacing w:after="160" w:before="280"/>
      </w:pPr>
      <w:r>
        <w:rPr>
          <w:rFonts w:ascii="Times New Roman" w:cs="Times New Roman" w:eastAsia="Times New Roman" w:hAnsi="Times New Roman"/>
          <w:b/>
          <w:bCs/>
          <w:color w:val="1F3864"/>
          <w:sz w:val="24"/>
          <w:szCs w:val="24"/>
        </w:rPr>
        <w:t xml:space="preserve">2.3  The Unique Maximum</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Shannon entropy is strictly concave on the simplex (Theorem B.5), so Keff(S) has a unique maximum at the uniform distribution ρᵢ = 1/n, where Keff = n. This is the maximum-entropy state — the microcanonical ensemble. Any deviation from uniformity reduces Keff, giving CL-02 a natural polarity: declining Keff means increasing concentration (ordering); rising Keff means increasing uniformity (disordering). The second law, in the monitoring context, provides directionality.</w:t>
      </w:r>
    </w:p>
    <w:p>
      <w:pPr>
        <w:pStyle w:val="Heading2"/>
        <w:spacing w:after="160" w:before="280"/>
      </w:pPr>
      <w:r>
        <w:rPr>
          <w:rFonts w:ascii="Times New Roman" w:cs="Times New Roman" w:eastAsia="Times New Roman" w:hAnsi="Times New Roman"/>
          <w:b/>
          <w:bCs/>
          <w:color w:val="1F3864"/>
          <w:sz w:val="24"/>
          <w:szCs w:val="24"/>
        </w:rPr>
        <w:t xml:space="preserve">2.4  Carrier vs Observable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distinction between ρ (carrier) and Keff (observable) is the central ontological commitment. ρ carries the full state; Keff is a scalar projection. The pipeline controls ρ; Keff is a consequence. This is precisely the distinction between a quantum state |ψ⟩ and an expectation value ⟨ψ|A|ψ⟩: the state is fundamental; the observable is derived. Never confuse them.</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The Control Pipeline</w:t>
      </w:r>
    </w:p>
    <w:p>
      <w:pPr>
        <w:spacing w:after="160" w:before="0"/>
        <w:ind w:left="480"/>
        <w:jc w:val="both"/>
      </w:pPr>
      <w:r>
        <w:rPr>
          <w:rFonts w:ascii="Times New Roman" w:cs="Times New Roman" w:eastAsia="Times New Roman" w:hAnsi="Times New Roman"/>
          <w:i/>
          <w:iCs/>
          <w:color w:val="2E75B6"/>
          <w:sz w:val="22"/>
          <w:szCs w:val="22"/>
        </w:rPr>
        <w:t xml:space="preserve">See Math Book Area D (Definitions D.1–D.2, Theorem D.3)</w:t>
      </w:r>
    </w:p>
    <w:p>
      <w:pPr>
        <w:pStyle w:val="Heading2"/>
        <w:spacing w:after="160" w:before="280"/>
      </w:pPr>
      <w:r>
        <w:rPr>
          <w:rFonts w:ascii="Times New Roman" w:cs="Times New Roman" w:eastAsia="Times New Roman" w:hAnsi="Times New Roman"/>
          <w:b/>
          <w:bCs/>
          <w:color w:val="1F3864"/>
          <w:sz w:val="24"/>
          <w:szCs w:val="24"/>
        </w:rPr>
        <w:t xml:space="preserve">3.1  The PLL Homomorphism</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CL pipeline is structurally homomorphic to a phase-locked loop (Theorem D.3). For physicists, this is the most immediately useful result in the entire framework, because PLLs are standard laboratory instruments. Every experimentalist who has locked a laser to a cavity, stabilised a clock, or demodulated an RF signal has operated a PLL. The same engineering — the same stability conditions, the same failure modes, the same tuning intuition — transfers directly to the CL architecture.</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Homomorphism Scope.  </w:t>
      </w:r>
      <w:r>
        <w:rPr>
          <w:rFonts w:ascii="Times New Roman" w:cs="Times New Roman" w:eastAsia="Times New Roman" w:hAnsi="Times New Roman"/>
          <w:color w:val="333333"/>
          <w:sz w:val="22"/>
          <w:szCs w:val="22"/>
        </w:rPr>
        <w:t xml:space="preserve">The PLL→CL homomorphism maps architecture, control topology, failure modes, and tuning intuition. It does not transfer parameter values or performance bounds, which require domain calibration against real data. The homomorphism tells you the shape of the solution; calibration fills in the numbers.</w:t>
      </w:r>
    </w:p>
    <w:p>
      <w:pPr>
        <w:pStyle w:val="Heading2"/>
        <w:spacing w:after="160" w:before="280"/>
      </w:pPr>
      <w:r>
        <w:rPr>
          <w:rFonts w:ascii="Times New Roman" w:cs="Times New Roman" w:eastAsia="Times New Roman" w:hAnsi="Times New Roman"/>
          <w:b/>
          <w:bCs/>
          <w:color w:val="1F3864"/>
          <w:sz w:val="24"/>
          <w:szCs w:val="24"/>
        </w:rPr>
        <w:t xml:space="preserve">3.2  The Five Stages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CL-01 (Validity) = Feedback Divider. Closes the loop by validating the corrected state. In a PLL, the divider scales the VCO output before comparison with the reference.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(Drift Trigger) = Phase Detector. Compares current state against reference and produces an error signal. In the PLL, this is the phase difference θₑ; in CL, it is the TV distance.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CL-03 (Complexity Gauge) = Loop Filter / FM Discriminator. Extracts Keff from ρ and compares against the reference trajectory. The discriminator in an FM receiver extracts instantaneous frequency from phase; CL-03 extracts effective complexity from the ratio-state.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CL-04 (Verdict Logic) = Lock Detector / AGC. Classifies system state as coherent (GREEN), drifting (AMBER), or lost (RED/CRITICAL). The lock detector in a PLL triggers acquisition mode when lock is lost; CL-04 triggers CL-05 if intervention is needed.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CL-05 (Restorative Control) = VCO. Applies the zero-sum correction vector. In the PLL, the VCO adjusts frequency; in CL, CL-05 adjusts ρ.</w:t>
      </w:r>
    </w:p>
    <w:p>
      <w:pPr>
        <w:pStyle w:val="Heading2"/>
        <w:spacing w:after="160" w:before="280"/>
      </w:pPr>
      <w:r>
        <w:rPr>
          <w:rFonts w:ascii="Times New Roman" w:cs="Times New Roman" w:eastAsia="Times New Roman" w:hAnsi="Times New Roman"/>
          <w:b/>
          <w:bCs/>
          <w:color w:val="1F3864"/>
          <w:sz w:val="24"/>
          <w:szCs w:val="24"/>
        </w:rPr>
        <w:t xml:space="preserve">3.3  What the Homomorphism Buys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homomorphism preserves four things (proven in D.3): composition (cascade order), feedback topology (the loop closes through the same structural path), stability conditions (Barkhausen criterion maps to CL damping), and noise performance (bandwidth-SNR trade-off maps to sensitivity-specificity trade-off).</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a physicist, this means: every PLL design rule you learned in instrumentation class applies. If the CL loop oscillates, you need more damping (ζ &gt; 0.707). If it’s too slow, reduce λ. If it locks onto the wrong state, you have a false-lock problem. The diagnostic vocabulary is identical.</w:t>
      </w:r>
    </w:p>
    <w:p>
      <w:r>
        <w:br w:type="page"/>
      </w:r>
    </w:p>
    <w:p>
      <w:pPr>
        <w:pStyle w:val="Heading1"/>
        <w:spacing w:after="200" w:before="360"/>
      </w:pPr>
      <w:r>
        <w:rPr>
          <w:rFonts w:ascii="Times New Roman" w:cs="Times New Roman" w:eastAsia="Times New Roman" w:hAnsi="Times New Roman"/>
          <w:b/>
          <w:bCs/>
          <w:color w:val="1F3864"/>
          <w:sz w:val="28"/>
          <w:szCs w:val="28"/>
        </w:rPr>
        <w:t xml:space="preserve">§4  Failure Modes and Engineering Lineage</w:t>
      </w:r>
    </w:p>
    <w:p>
      <w:pPr>
        <w:spacing w:after="160" w:before="0"/>
        <w:ind w:left="480"/>
        <w:jc w:val="both"/>
      </w:pPr>
      <w:r>
        <w:rPr>
          <w:rFonts w:ascii="Times New Roman" w:cs="Times New Roman" w:eastAsia="Times New Roman" w:hAnsi="Times New Roman"/>
          <w:i/>
          <w:iCs/>
          <w:color w:val="2E75B6"/>
          <w:sz w:val="22"/>
          <w:szCs w:val="22"/>
        </w:rPr>
        <w:t xml:space="preserve">See Math Book Area D (Theorems D.3–D.4, D.6; Definition D.5)</w:t>
      </w:r>
    </w:p>
    <w:p>
      <w:pPr>
        <w:pStyle w:val="Heading2"/>
        <w:spacing w:after="160" w:before="280"/>
      </w:pPr>
      <w:r>
        <w:rPr>
          <w:rFonts w:ascii="Times New Roman" w:cs="Times New Roman" w:eastAsia="Times New Roman" w:hAnsi="Times New Roman"/>
          <w:b/>
          <w:bCs/>
          <w:color w:val="1F3864"/>
          <w:sz w:val="24"/>
          <w:szCs w:val="24"/>
        </w:rPr>
        <w:t xml:space="preserve">4.1  Inherited Failure Modes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PLL homomorphism gives HUF a complete failure mode catalogue, each with known symptoms and mitigations (Theorem D.4). Physicists will recognise every one of these from lab experience.</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Cycle Slipping → Keff Overshoot.  </w:t>
      </w:r>
      <w:r>
        <w:rPr>
          <w:rFonts w:ascii="Times New Roman" w:cs="Times New Roman" w:eastAsia="Times New Roman" w:hAnsi="Times New Roman"/>
          <w:color w:val="333333"/>
          <w:sz w:val="22"/>
          <w:szCs w:val="22"/>
        </w:rPr>
        <w:t xml:space="preserve">The PLL phase error exceeds 2π and the loop jumps a cycle. In CL, the correction overshoots and ρ lands in a new basin. Symptom: Keff oscillation after CL-05 intervention. Mitigation: increase damping. The physics analogue is a Josephson junction slipping a flux quantum when the bias current exceeds I₁.</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False Lock → Local Keff Optimum.  </w:t>
      </w:r>
      <w:r>
        <w:rPr>
          <w:rFonts w:ascii="Times New Roman" w:cs="Times New Roman" w:eastAsia="Times New Roman" w:hAnsi="Times New Roman"/>
          <w:color w:val="333333"/>
          <w:sz w:val="22"/>
          <w:szCs w:val="22"/>
        </w:rPr>
        <w:t xml:space="preserve">The PLL locks onto a harmonic or spur instead of the carrier. In CL, the pipeline converges to a local Keff optimum that satisfies CL-04 but does not match the declared ground state. Symptom: "coherent" verdict with wrong allocation. Mitigation: full-state comparison, not just Keff. The physics analogue is mode-hopping in a laser lock.</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Loss of Lock → Portfolio Shock.  </w:t>
      </w:r>
      <w:r>
        <w:rPr>
          <w:rFonts w:ascii="Times New Roman" w:cs="Times New Roman" w:eastAsia="Times New Roman" w:hAnsi="Times New Roman"/>
          <w:color w:val="333333"/>
          <w:sz w:val="22"/>
          <w:szCs w:val="22"/>
        </w:rPr>
        <w:t xml:space="preserve">The input moves outside the PLL lock range. In CL, an external shock pushes ρ beyond the correctable range. Symptom: CL-04 enters alarm; CL-05 cannot compute a feasible correction. Mitigation: operator constraint (CL-05 is STORE until human authorisation). The physics analogue is losing lock on a cavity when a vibration exceeds the servo bandwidth.</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Jitter Accumulation → Keff Variance Growth.  </w:t>
      </w:r>
      <w:r>
        <w:rPr>
          <w:rFonts w:ascii="Times New Roman" w:cs="Times New Roman" w:eastAsia="Times New Roman" w:hAnsi="Times New Roman"/>
          <w:color w:val="333333"/>
          <w:sz w:val="22"/>
          <w:szCs w:val="22"/>
        </w:rPr>
        <w:t xml:space="preserve">Residual phase noise accumulates in the PLL. In CL, below-threshold drifts cause Keff variance to grow between recalibrations. Symptom: widening Keff confidence intervals. Mitigation: recalibrate at intervals shorter than the jitter accumulation time constant. The physics analogue is Allan variance growth in a clock.</w:t>
      </w:r>
    </w:p>
    <w:p>
      <w:pPr>
        <w:pStyle w:val="Heading2"/>
        <w:spacing w:after="160" w:before="280"/>
      </w:pPr>
      <w:r>
        <w:rPr>
          <w:rFonts w:ascii="Times New Roman" w:cs="Times New Roman" w:eastAsia="Times New Roman" w:hAnsi="Times New Roman"/>
          <w:b/>
          <w:bCs/>
          <w:color w:val="1F3864"/>
          <w:sz w:val="24"/>
          <w:szCs w:val="24"/>
        </w:rPr>
        <w:t xml:space="preserve">4.2  Engineering Lineage</w:t>
      </w:r>
    </w:p>
    <w:p>
      <w:pPr>
        <w:spacing w:after="160" w:before="120"/>
        <w:jc w:val="both"/>
      </w:pPr>
      <w:r>
        <w:rPr>
          <w:rFonts w:ascii="Times New Roman" w:cs="Times New Roman" w:eastAsia="Times New Roman" w:hAnsi="Times New Roman"/>
          <w:b/>
          <w:bCs/>
          <w:color w:val="333333"/>
          <w:sz w:val="22"/>
          <w:szCs w:val="22"/>
        </w:rPr>
        <w:t xml:space="preserve">Table 1 — Engineering Lineage of CL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CL Stage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PLL Component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Lab Analogue</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HUF Function</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Feedback Divider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IF Normalisation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Admissibility gate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Phase Detector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Limiter + CFD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TV drift trigger</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Loop Filter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FM Discriminator</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Keff complexity gauge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Lock Detector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AGC</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Verdict logic</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VCO</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Full PLL</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Restorative control</w:t>
            </w:r>
          </w:p>
        </w:tc>
      </w:tr>
    </w:tbl>
    <w:p>
      <w:pPr>
        <w:pStyle w:val="Heading2"/>
        <w:spacing w:after="160" w:before="280"/>
      </w:pPr>
      <w:r>
        <w:rPr>
          <w:rFonts w:ascii="Times New Roman" w:cs="Times New Roman" w:eastAsia="Times New Roman" w:hAnsi="Times New Roman"/>
          <w:b/>
          <w:bCs/>
          <w:color w:val="1F3864"/>
          <w:sz w:val="24"/>
          <w:szCs w:val="24"/>
        </w:rPr>
        <w:t xml:space="preserve">4.3  Hysteresis: Preventing Verdict Jitter</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D.5; Theorem D.6</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A signal hovering near a CL-04 threshold will oscillate between GREEN and AMBER every monitoring cycle — the CL analogue of chatter at the lock-detect boundary. The hysteresis protocol (Definition D.5) eliminates this with two parameters: an escalation guard η and a persistence count m.</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Detector Trigger.  </w:t>
      </w:r>
      <w:r>
        <w:rPr>
          <w:rFonts w:ascii="Times New Roman" w:cs="Times New Roman" w:eastAsia="Times New Roman" w:hAnsi="Times New Roman"/>
          <w:color w:val="333333"/>
          <w:sz w:val="22"/>
          <w:szCs w:val="22"/>
        </w:rPr>
        <w:t xml:space="preserve">A particle physics trigger operating near threshold chatters between "accept" and "reject" on noise fluctuations. Adding hysteresis (require the signal to exceed threshold by η for m consecutive bunch crossings) eliminates false triggers at the cost of slightly reduced efficiency. The rate of false transitions drops as exp(−η²/(2σ²))/m (Theorem D.6). This is exactly the same mathematics as a Schmitt trigger.</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Laser Lock.  </w:t>
      </w:r>
      <w:r>
        <w:rPr>
          <w:rFonts w:ascii="Times New Roman" w:cs="Times New Roman" w:eastAsia="Times New Roman" w:hAnsi="Times New Roman"/>
          <w:color w:val="333333"/>
          <w:sz w:val="22"/>
          <w:szCs w:val="22"/>
        </w:rPr>
        <w:t xml:space="preserve">A laser frequency lock that chatters between "locked" and "unlocked" near the lock-detect threshold. Setting η = 3σ and m = 10 gives a false-unlock rate below 10⁻⁶ per second. Every PLL designer in a physics lab does this instinctively; Theorem D.6 gives the quantitative guarantee.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Calibration Philosophy</w:t>
      </w:r>
    </w:p>
    <w:p>
      <w:pPr>
        <w:spacing w:after="160" w:before="0"/>
        <w:ind w:left="480"/>
        <w:jc w:val="both"/>
      </w:pPr>
      <w:r>
        <w:rPr>
          <w:rFonts w:ascii="Times New Roman" w:cs="Times New Roman" w:eastAsia="Times New Roman" w:hAnsi="Times New Roman"/>
          <w:i/>
          <w:iCs/>
          <w:color w:val="2E75B6"/>
          <w:sz w:val="22"/>
          <w:szCs w:val="22"/>
        </w:rPr>
        <w:t xml:space="preserve">See Math Book Area E (Definitions E.1–E.2, E.6, E.8, E.10; Theorems E.3–E.5, E.7, E.9, E.11)</w:t>
      </w:r>
    </w:p>
    <w:p>
      <w:pPr>
        <w:pStyle w:val="Heading2"/>
        <w:spacing w:after="160" w:before="280"/>
      </w:pPr>
      <w:r>
        <w:rPr>
          <w:rFonts w:ascii="Times New Roman" w:cs="Times New Roman" w:eastAsia="Times New Roman" w:hAnsi="Times New Roman"/>
          <w:b/>
          <w:bCs/>
          <w:color w:val="1F3864"/>
          <w:sz w:val="24"/>
          <w:szCs w:val="24"/>
        </w:rPr>
        <w:t xml:space="preserve">5.1  Why IMC-PID?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CL-05 needs a tuning methodology that is conservative, transparent, and operable. Internal Model Control (IMC) PID was selected because it satisfies all three.</w:t>
      </w:r>
    </w:p>
    <w:p>
      <w:pPr>
        <w:spacing w:after="160" w:before="0"/>
        <w:jc w:val="both"/>
      </w:pPr>
      <w:r>
        <w:rPr>
          <w:rFonts w:ascii="Times New Roman" w:cs="Times New Roman" w:eastAsia="Times New Roman" w:hAnsi="Times New Roman"/>
          <w:b/>
          <w:bCs/>
          <w:color w:val="333333"/>
          <w:sz w:val="22"/>
          <w:szCs w:val="22"/>
        </w:rPr>
        <w:t xml:space="preserve">Conservative: </w:t>
      </w:r>
      <w:r>
        <w:rPr>
          <w:rFonts w:ascii="Times New Roman" w:cs="Times New Roman" w:eastAsia="Times New Roman" w:hAnsi="Times New Roman"/>
          <w:color w:val="333333"/>
          <w:sz w:val="22"/>
          <w:szCs w:val="22"/>
        </w:rPr>
        <w:t xml:space="preserve">the λ ≥ θ detuning rule guarantees no overshoot beyond what the dead time forces. For monitoring systems where overcorrection is worse than slow response, this is the right default.</w:t>
      </w:r>
    </w:p>
    <w:p>
      <w:pPr>
        <w:spacing w:after="160" w:before="0"/>
        <w:jc w:val="both"/>
      </w:pPr>
      <w:r>
        <w:rPr>
          <w:rFonts w:ascii="Times New Roman" w:cs="Times New Roman" w:eastAsia="Times New Roman" w:hAnsi="Times New Roman"/>
          <w:b/>
          <w:bCs/>
          <w:color w:val="333333"/>
          <w:sz w:val="22"/>
          <w:szCs w:val="22"/>
        </w:rPr>
        <w:t xml:space="preserve">Transparent: </w:t>
      </w:r>
      <w:r>
        <w:rPr>
          <w:rFonts w:ascii="Times New Roman" w:cs="Times New Roman" w:eastAsia="Times New Roman" w:hAnsi="Times New Roman"/>
          <w:color w:val="333333"/>
          <w:sz w:val="22"/>
          <w:szCs w:val="22"/>
        </w:rPr>
        <w:t xml:space="preserve">all PID gains are closed-form functions of three measurable parameters (Kₚ, τ, θ) and one tuning knob (λ). No black-box optimisation. A physicist can derive the gains on a napkin.</w:t>
      </w:r>
    </w:p>
    <w:p>
      <w:pPr>
        <w:spacing w:after="160" w:before="0"/>
        <w:jc w:val="both"/>
      </w:pPr>
      <w:r>
        <w:rPr>
          <w:rFonts w:ascii="Times New Roman" w:cs="Times New Roman" w:eastAsia="Times New Roman" w:hAnsi="Times New Roman"/>
          <w:b/>
          <w:bCs/>
          <w:color w:val="333333"/>
          <w:sz w:val="22"/>
          <w:szCs w:val="22"/>
        </w:rPr>
        <w:t xml:space="preserve">Single parameter: </w:t>
      </w:r>
      <w:r>
        <w:rPr>
          <w:rFonts w:ascii="Times New Roman" w:cs="Times New Roman" w:eastAsia="Times New Roman" w:hAnsi="Times New Roman"/>
          <w:color w:val="333333"/>
          <w:sz w:val="22"/>
          <w:szCs w:val="22"/>
        </w:rPr>
        <w:t xml:space="preserve">λ controls the speed-robustness trade-off. Smaller λ = faster but less robust. Larger λ = slower but tolerant of model error. The house default λ ≥ θ is the minimal robustness condition.</w:t>
      </w:r>
    </w:p>
    <w:p>
      <w:pPr>
        <w:pStyle w:val="Heading2"/>
        <w:spacing w:after="160" w:before="280"/>
      </w:pPr>
      <w:r>
        <w:rPr>
          <w:rFonts w:ascii="Times New Roman" w:cs="Times New Roman" w:eastAsia="Times New Roman" w:hAnsi="Times New Roman"/>
          <w:b/>
          <w:bCs/>
          <w:color w:val="1F3864"/>
          <w:sz w:val="24"/>
          <w:szCs w:val="24"/>
        </w:rPr>
        <w:t xml:space="preserve">5.2  Robustness and the ±20% Envelope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Theorem E.4 establishes that for λ ≥ θ, the controller tolerates ±20% mismatch in all three FOPDT parameters simultaneously. The proof uses the small-gain theorem and explicit multiplicative uncertainty bounds — standard tools from robust control theory.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physicists, the key number is the robustness margin μ(k,r) (Theorem E.7). At the house default λ = θ: μ &gt; 2.25 for all FOPDT plants. This means the controller remains stable even with ±50% mismatch — a factor of two safety buffer beyond the design envelope. In experimental physics, where systematic uncertainties routinely exceed 10%, this margin is essential.</w:t>
      </w:r>
    </w:p>
    <w:p>
      <w:pPr>
        <w:spacing w:after="160" w:before="120"/>
        <w:jc w:val="both"/>
      </w:pPr>
      <w:r>
        <w:rPr>
          <w:rFonts w:ascii="Times New Roman" w:cs="Times New Roman" w:eastAsia="Times New Roman" w:hAnsi="Times New Roman"/>
          <w:b/>
          <w:bCs/>
          <w:color w:val="333333"/>
          <w:sz w:val="22"/>
          <w:szCs w:val="22"/>
        </w:rPr>
        <w:t xml:space="preserve">Table 2 — Robustness Margins for Typical Physics Applications (r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k = λ/θ</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λ</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μ (r≈2)</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Tolerance</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Use Case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θ</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2.55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±51%</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House default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1.5θ</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Recommended for noisy systems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2.0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2θ</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3.49</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±70%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Conservative (slow detectors)</w:t>
            </w:r>
          </w:p>
        </w:tc>
      </w:tr>
    </w:tbl>
    <w:p>
      <w:pPr>
        <w:pStyle w:val="Heading2"/>
        <w:spacing w:after="160" w:before="280"/>
      </w:pPr>
      <w:r>
        <w:rPr>
          <w:rFonts w:ascii="Times New Roman" w:cs="Times New Roman" w:eastAsia="Times New Roman" w:hAnsi="Times New Roman"/>
          <w:b/>
          <w:bCs/>
          <w:color w:val="1F3864"/>
          <w:sz w:val="24"/>
          <w:szCs w:val="24"/>
        </w:rPr>
        <w:t xml:space="preserve">5.3  Simplex-Preserving Corrections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Theorem E.5 guarantees that CL-05 corrections preserve simplex membership. The correction lives in the tangent space (zero-sum), and any component that would go negative is projected. This closes the loop: CL-01 validates inputs on the simplex; CL-05 keeps outputs on the simplex. The entire pipeline is simplex-preserving.</w:t>
      </w:r>
    </w:p>
    <w:p>
      <w:pPr>
        <w:pStyle w:val="Heading2"/>
        <w:spacing w:after="160" w:before="280"/>
      </w:pPr>
      <w:r>
        <w:rPr>
          <w:rFonts w:ascii="Times New Roman" w:cs="Times New Roman" w:eastAsia="Times New Roman" w:hAnsi="Times New Roman"/>
          <w:b/>
          <w:bCs/>
          <w:color w:val="1F3864"/>
          <w:sz w:val="24"/>
          <w:szCs w:val="24"/>
        </w:rPr>
        <w:t xml:space="preserve">5.4  Reference Update Protocols</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E.8; Theorem E.9</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measures drift from a reference state ρ_ref. Three canonical update protocols are defined (Definition E.8): declared baseline (fixed until the operator resets), epoch baseline (resets at each measurement epoch), and exponential baseline (EMA tracking with parameter α).</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Beam Monitoring.  </w:t>
      </w:r>
      <w:r>
        <w:rPr>
          <w:rFonts w:ascii="Times New Roman" w:cs="Times New Roman" w:eastAsia="Times New Roman" w:hAnsi="Times New Roman"/>
          <w:color w:val="333333"/>
          <w:sz w:val="22"/>
          <w:szCs w:val="22"/>
        </w:rPr>
        <w:t xml:space="preserve">For accelerator beam profile monitoring, the declared baseline is the commissioning profile. CL-02 measures total drift from commissioning. The epoch baseline would reset at each fill, measuring only within-fill evolution. The exponential baseline tracks slow optics changes but masks sudden beam loss — use declared baseline for safety, exponential for optics tuning.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Theorem E.9 quantifies the trade-off: the declared baseline measures true cumulative drift (bounded by observation noise ε_obs), while the exponential baseline underestimates drift by (1−α)ᵀ after T observations. The PLL analogue is exact: fixed-frequency reference vs AFC loop.</w:t>
      </w:r>
    </w:p>
    <w:p>
      <w:pPr>
        <w:pStyle w:val="Heading2"/>
        <w:spacing w:after="160" w:before="280"/>
      </w:pPr>
      <w:r>
        <w:rPr>
          <w:rFonts w:ascii="Times New Roman" w:cs="Times New Roman" w:eastAsia="Times New Roman" w:hAnsi="Times New Roman"/>
          <w:b/>
          <w:bCs/>
          <w:color w:val="1F3864"/>
          <w:sz w:val="24"/>
          <w:szCs w:val="24"/>
        </w:rPr>
        <w:t xml:space="preserve">5.5  When FOPDT Is Not Enough</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E.1; Definition E.10</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FOPDT model (Kₚ, τ, θ) is the workhorse, but it assumes linearity, a single time constant, fixed dead time, no oscillatory dynamics, step-response excitation, constant parameters, and a lumped system. Seven specific limitations — each with a diagnostic signature — are catalogued in the Mathematician’s Edition.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physicists, the most common failure is the single-time-constant assumption. Any system with two distinct relaxation modes — fast detector response and slow DAQ processing, fast surface effects and slow bulk diffusion, fast electronic and slow thermal time constants — will show an S-shaped step response that a single exponential cannot fit.</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Two-Timescale Systems.  </w:t>
      </w:r>
      <w:r>
        <w:rPr>
          <w:rFonts w:ascii="Times New Roman" w:cs="Times New Roman" w:eastAsia="Times New Roman" w:hAnsi="Times New Roman"/>
          <w:color w:val="333333"/>
          <w:sz w:val="22"/>
          <w:szCs w:val="22"/>
        </w:rPr>
        <w:t xml:space="preserve">A bolometer with fast electron-phonon coupling (τ₁ ≈ μs) and slow phonon-bath thermalisation (τ₂ ≈ ms) produces a two-exponential response. FOPDT fits the slow component and misses the fast one, leading to underdamped correction. The SOPDT model (Definition E.10) resolves both timescales.</w:t>
      </w:r>
    </w:p>
    <w:p>
      <w:pPr>
        <w:pStyle w:val="Heading2"/>
        <w:spacing w:after="160" w:before="280"/>
      </w:pPr>
      <w:r>
        <w:rPr>
          <w:rFonts w:ascii="Times New Roman" w:cs="Times New Roman" w:eastAsia="Times New Roman" w:hAnsi="Times New Roman"/>
          <w:b/>
          <w:bCs/>
          <w:color w:val="1F3864"/>
          <w:sz w:val="24"/>
          <w:szCs w:val="24"/>
        </w:rPr>
        <w:t xml:space="preserve">5.6  The SOPDT Upgrade Path</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E.10; Theorem E.11</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SOPDT model adds a second time constant while preserving closed-form IMC-PID gains (Theorem E.11):</w:t>
      </w:r>
    </w:p>
    <w:p>
      <w:pPr>
        <w:spacing w:after="160" w:before="0"/>
        <w:jc w:val="center"/>
      </w:pPr>
      <w:r>
        <w:rPr>
          <w:rFonts w:ascii="Times New Roman" w:cs="Times New Roman" w:eastAsia="Times New Roman" w:hAnsi="Times New Roman"/>
          <w:b/>
          <w:bCs/>
          <w:i w:val="false"/>
          <w:iCs w:val="false"/>
          <w:color w:val="333333"/>
          <w:sz w:val="22"/>
          <w:szCs w:val="22"/>
        </w:rPr>
        <w:t xml:space="preserve">Kc = (τ₁ + τ₂ + θ/2) / (Kₚ(λ + θ/2)),  τI = τ₁ + τ₂ + θ/2,  τD = τ₁τ₂ / (τ₁ + τ₂ + θ/2)</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derivative action τD, absent in FOPDT, now provides anticipatory correction — the controller responds to the rate of change, compensating for the lag from the second time constant. Recovery: τ₂ → 0 recovers FOPDT.</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Detector Response.  </w:t>
      </w:r>
      <w:r>
        <w:rPr>
          <w:rFonts w:ascii="Times New Roman" w:cs="Times New Roman" w:eastAsia="Times New Roman" w:hAnsi="Times New Roman"/>
          <w:color w:val="333333"/>
          <w:sz w:val="22"/>
          <w:szCs w:val="22"/>
        </w:rPr>
        <w:t xml:space="preserve">A scintillation detector with fast emission (τ₁ ≈ ns) and slow phosphorescence (τ₂ ≈ μs) has an SOPDT impulse response. The derivative term anticipates the slow tail, allowing pulse-shape discrimination. In the HUF context, this means the controller can distinguish fast transient events from slow systematic drifts.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Amplification Network</w:t>
      </w:r>
    </w:p>
    <w:p>
      <w:pPr>
        <w:spacing w:after="160" w:before="0"/>
        <w:ind w:left="480"/>
        <w:jc w:val="both"/>
      </w:pPr>
      <w:r>
        <w:rPr>
          <w:rFonts w:ascii="Times New Roman" w:cs="Times New Roman" w:eastAsia="Times New Roman" w:hAnsi="Times New Roman"/>
          <w:i/>
          <w:iCs/>
          <w:color w:val="2E75B6"/>
          <w:sz w:val="22"/>
          <w:szCs w:val="22"/>
        </w:rPr>
        <w:t xml:space="preserve">See Math Book Areas C and F (Theorems C.3–C.7, F.3–F.5)</w:t>
      </w:r>
    </w:p>
    <w:p>
      <w:pPr>
        <w:pStyle w:val="Heading2"/>
        <w:spacing w:after="160" w:before="280"/>
      </w:pPr>
      <w:r>
        <w:rPr>
          <w:rFonts w:ascii="Times New Roman" w:cs="Times New Roman" w:eastAsia="Times New Roman" w:hAnsi="Times New Roman"/>
          <w:b/>
          <w:bCs/>
          <w:color w:val="1F3864"/>
          <w:sz w:val="24"/>
          <w:szCs w:val="24"/>
        </w:rPr>
        <w:t xml:space="preserve">6.1  Supermodularity and Complementarity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A supermodular function (Definition C.2) satisfies f(x ∨ y) + f(x ∧ y) ≥ f(x) + f(y) — the value of combining resources exceeds the sum of parts. Physicists will recognise this as the mathematical formalisation of synergy, the opposite of diminishing returns.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HUF’s knowledge function is supermodular (Theorem C.7): adding a domain to the network becomes more valuable the more domains are already in the network, because theorem transport (F.3) creates cross-links between all pairs. This is the increasing-differences property (Theorem C.3).</w:t>
      </w:r>
    </w:p>
    <w:p>
      <w:pPr>
        <w:pStyle w:val="Heading2"/>
        <w:spacing w:after="160" w:before="280"/>
      </w:pPr>
      <w:r>
        <w:rPr>
          <w:rFonts w:ascii="Times New Roman" w:cs="Times New Roman" w:eastAsia="Times New Roman" w:hAnsi="Times New Roman"/>
          <w:b/>
          <w:bCs/>
          <w:color w:val="1F3864"/>
          <w:sz w:val="24"/>
          <w:szCs w:val="24"/>
        </w:rPr>
        <w:t xml:space="preserve">6.2  The Scaling Law</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multi-phase scaling law (Theorem F.4) quantifies total usable knowledge:</w:t>
      </w:r>
    </w:p>
    <w:p>
      <w:pPr>
        <w:spacing w:after="160" w:before="0"/>
        <w:jc w:val="center"/>
      </w:pPr>
      <w:r>
        <w:rPr>
          <w:rFonts w:ascii="Times New Roman" w:cs="Times New Roman" w:eastAsia="Times New Roman" w:hAnsi="Times New Roman"/>
          <w:b/>
          <w:bCs/>
          <w:i w:val="false"/>
          <w:iCs w:val="false"/>
          <w:color w:val="333333"/>
          <w:sz w:val="22"/>
          <w:szCs w:val="22"/>
        </w:rPr>
        <w:t xml:space="preserve">K_total = Σaᵢ + β · [n(n−1)/2] · ∏aᵢ</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first term is additive; the second is multiplicative via n(n−1)/2 pairwise channels. The product ∏aᵢ means one weak domain collapses the amplification — the chain is only as strong as its weakest link.</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Physics Analogue.  </w:t>
      </w:r>
      <w:r>
        <w:rPr>
          <w:rFonts w:ascii="Times New Roman" w:cs="Times New Roman" w:eastAsia="Times New Roman" w:hAnsi="Times New Roman"/>
          <w:color w:val="333333"/>
          <w:sz w:val="22"/>
          <w:szCs w:val="22"/>
        </w:rPr>
        <w:t xml:space="preserve">The scaling law has the same structure as the partition function of a pairwise-interacting spin system: the additive term is the single-site contribution; the multiplicative term is the pairwise interaction. The coupling β is an empirical parameter measuring codebook fidelity across domains. Status: [CONJECTURE] pending measurement.</w:t>
      </w:r>
    </w:p>
    <w:p>
      <w:pPr>
        <w:pStyle w:val="Heading2"/>
        <w:spacing w:after="160" w:before="280"/>
      </w:pPr>
      <w:r>
        <w:rPr>
          <w:rFonts w:ascii="Times New Roman" w:cs="Times New Roman" w:eastAsia="Times New Roman" w:hAnsi="Times New Roman"/>
          <w:b/>
          <w:bCs/>
          <w:color w:val="1F3864"/>
          <w:sz w:val="24"/>
          <w:szCs w:val="24"/>
        </w:rPr>
        <w:t xml:space="preserve">6.3  Theorem Transport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If two domain instantiations share the same CL structure (which they must, by Definition F.1), then any structural result proved in one domain holds in the other without re-proof (Theorem F.3). Only the interpretation function Φ changes.</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Cross-Domain Transfer.  </w:t>
      </w:r>
      <w:r>
        <w:rPr>
          <w:rFonts w:ascii="Times New Roman" w:cs="Times New Roman" w:eastAsia="Times New Roman" w:hAnsi="Times New Roman"/>
          <w:color w:val="333333"/>
          <w:sz w:val="22"/>
          <w:szCs w:val="22"/>
        </w:rPr>
        <w:t xml:space="preserve">A proof that "Keff &lt; 2.5 implies the system is dominated by two components" in particle branching ratios transfers instantly to detector occupancy, beam profile monitoring, or any other ratio-state domain. The number, the threshold, and the alarm logic are identical. What differs is the physical interpretation of "dominated by two components."</w:t>
      </w:r>
    </w:p>
    <w:p>
      <w:pPr>
        <w:pStyle w:val="Heading2"/>
        <w:spacing w:after="160" w:before="280"/>
      </w:pPr>
      <w:r>
        <w:rPr>
          <w:rFonts w:ascii="Times New Roman" w:cs="Times New Roman" w:eastAsia="Times New Roman" w:hAnsi="Times New Roman"/>
          <w:b/>
          <w:bCs/>
          <w:color w:val="1F3864"/>
          <w:sz w:val="24"/>
          <w:szCs w:val="24"/>
        </w:rPr>
        <w:t xml:space="preserve">6.4  Self-Training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self-training criterion (Theorem F.5) states that CL-01 through CL-04 are label-free — they operate on ρ ∈ Δⁿ⁻¹ without reference to what the components represent. A physicist who masters the pipeline in detector monitoring can apply it to beam optics, radiotherapy dose fractions, or stellar abundance ratios by learning only the new interpretation Φ.</w:t>
      </w:r>
    </w:p>
    <w:p>
      <w:r>
        <w:br w:type="page"/>
      </w:r>
    </w:p>
    <w:p>
      <w:pPr>
        <w:pStyle w:val="Heading1"/>
        <w:spacing w:after="200" w:before="360"/>
      </w:pPr>
      <w:r>
        <w:rPr>
          <w:rFonts w:ascii="Times New Roman" w:cs="Times New Roman" w:eastAsia="Times New Roman" w:hAnsi="Times New Roman"/>
          <w:b/>
          <w:bCs/>
          <w:color w:val="1F3864"/>
          <w:sz w:val="28"/>
          <w:szCs w:val="28"/>
        </w:rPr>
        <w:t xml:space="preserve">§7  Synthesis: From Theory to Validation</w:t>
      </w:r>
    </w:p>
    <w:p>
      <w:pPr>
        <w:pStyle w:val="Heading2"/>
        <w:spacing w:after="160" w:before="280"/>
      </w:pPr>
      <w:r>
        <w:rPr>
          <w:rFonts w:ascii="Times New Roman" w:cs="Times New Roman" w:eastAsia="Times New Roman" w:hAnsi="Times New Roman"/>
          <w:b/>
          <w:bCs/>
          <w:color w:val="1F3864"/>
          <w:sz w:val="24"/>
          <w:szCs w:val="24"/>
        </w:rPr>
        <w:t xml:space="preserve">7.1  What Has Been Established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six preceding chapters establish a complete architecture for composition monitoring. The carrier (ρ) is a normalised distribution on the simplex. The observable (Keff) is the effective number of components. The metric (TV) is the trace distance. The pipeline (CL-01–CL-05) is homomorphic to a PLL. The calibration (IMC-PID) has closed-form gains with quantified robustness margins. The amplification network predicts super-linear scaling across domains.</w:t>
      </w:r>
    </w:p>
    <w:p>
      <w:pPr>
        <w:pStyle w:val="Heading2"/>
        <w:spacing w:after="160" w:before="280"/>
      </w:pPr>
      <w:r>
        <w:rPr>
          <w:rFonts w:ascii="Times New Roman" w:cs="Times New Roman" w:eastAsia="Times New Roman" w:hAnsi="Times New Roman"/>
          <w:b/>
          <w:bCs/>
          <w:color w:val="1F3864"/>
          <w:sz w:val="24"/>
          <w:szCs w:val="24"/>
        </w:rPr>
        <w:t xml:space="preserve">7.2  What Has Not Been Established</w:t>
      </w:r>
    </w:p>
    <w:p>
      <w:pPr>
        <w:spacing w:after="160" w:before="0"/>
        <w:jc w:val="both"/>
      </w:pPr>
      <w:r>
        <w:rPr>
          <w:rFonts w:ascii="Times New Roman" w:cs="Times New Roman" w:eastAsia="Times New Roman" w:hAnsi="Times New Roman"/>
          <w:b/>
          <w:bCs/>
          <w:color w:val="333333"/>
          <w:sz w:val="22"/>
          <w:szCs w:val="22"/>
        </w:rPr>
        <w:t xml:space="preserve">The hard gate: </w:t>
      </w:r>
      <w:r>
        <w:rPr>
          <w:rFonts w:ascii="Times New Roman" w:cs="Times New Roman" w:eastAsia="Times New Roman" w:hAnsi="Times New Roman"/>
          <w:color w:val="333333"/>
          <w:sz w:val="22"/>
          <w:szCs w:val="22"/>
        </w:rPr>
        <w:t xml:space="preserve">No real-data Keff validation has been performed on any actual ratio portfolio. The architecture is structurally sound and mathematically proven, but no empirical Keff time series has been processed through the CL pipeline. Until this gate is passed, CL-03 carries ADD* status (simulation-supported, not field-validated) and CL-05 remains STORE.</w:t>
      </w:r>
    </w:p>
    <w:p>
      <w:pPr>
        <w:spacing w:after="160" w:before="0"/>
        <w:jc w:val="both"/>
      </w:pPr>
      <w:r>
        <w:rPr>
          <w:rFonts w:ascii="Times New Roman" w:cs="Times New Roman" w:eastAsia="Times New Roman" w:hAnsi="Times New Roman"/>
          <w:b/>
          <w:bCs/>
          <w:color w:val="333333"/>
          <w:sz w:val="22"/>
          <w:szCs w:val="22"/>
        </w:rPr>
        <w:t xml:space="preserve">The scaling law: </w:t>
      </w:r>
      <w:r>
        <w:rPr>
          <w:rFonts w:ascii="Times New Roman" w:cs="Times New Roman" w:eastAsia="Times New Roman" w:hAnsi="Times New Roman"/>
          <w:color w:val="333333"/>
          <w:sz w:val="22"/>
          <w:szCs w:val="22"/>
        </w:rPr>
        <w:t xml:space="preserve">Theorem F.4 is [CONJECTURE]. The coupling strength β has not been measured. Cross-domain transfer rates must be measured to promote it.</w:t>
      </w:r>
    </w:p>
    <w:p>
      <w:pPr>
        <w:pStyle w:val="Heading2"/>
        <w:spacing w:after="160" w:before="280"/>
      </w:pPr>
      <w:r>
        <w:rPr>
          <w:rFonts w:ascii="Times New Roman" w:cs="Times New Roman" w:eastAsia="Times New Roman" w:hAnsi="Times New Roman"/>
          <w:b/>
          <w:bCs/>
          <w:color w:val="1F3864"/>
          <w:sz w:val="24"/>
          <w:szCs w:val="24"/>
        </w:rPr>
        <w:t xml:space="preserve">7.3  The Path Forward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simplest validation path for physicists: take a well-characterised detector system with known ratio-state evolution (e.g., a calorimeter with documented gain drift over a run period), compute the Keff time series, and process it through CL-01–CL-04. If the verdict timeline correlates with known hardware interventions, the hard gate is passed.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architecture is ready. The mathematics is complete. What remains is measurement.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Cross-Reference Table</w:t>
      </w:r>
    </w:p>
    <w:p>
      <w:pPr>
        <w:spacing w:after="160" w:before="0"/>
        <w:jc w:val="both"/>
      </w:pPr>
      <w:r>
        <w:rPr>
          <w:rFonts w:ascii="Times New Roman" w:cs="Times New Roman" w:eastAsia="Times New Roman" w:hAnsi="Times New Roman"/>
          <w:b w:val="false"/>
          <w:bCs w:val="false"/>
          <w:i/>
          <w:iCs/>
          <w:color w:val="333333"/>
          <w:sz w:val="22"/>
          <w:szCs w:val="22"/>
        </w:rPr>
        <w:t xml:space="preserve">The table below maps each Context Book chapter to the corresponding Math Book area and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Chapter</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Title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Math Book Area</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Key Results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 Ratio-State Carrier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A</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A.1–A.7</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Effective Complexity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B</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B.1–B.6</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§3</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 Control Pipeline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D</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D.1–D.3</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Failure Modes + Hysteresis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D.4–D.6</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§5</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Calibration + FOPDT Limits + SOPDT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E.1–E.11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Amplification Network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Areas C + F</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C.1–C.7, F.1–F.5</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§7</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Synthesis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All</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All</w:t>
            </w:r>
          </w:p>
        </w:tc>
      </w:tr>
    </w:tbl>
    <w:p>
      <w:pPr>
        <w:spacing w:after="160" w:before="120"/>
        <w:jc w:val="both"/>
      </w:pPr>
      <w:r>
        <w:rPr>
          <w:rFonts w:ascii="Times New Roman" w:cs="Times New Roman" w:eastAsia="Times New Roman" w:hAnsi="Times New Roman"/>
          <w:b w:val="false"/>
          <w:bCs w:val="false"/>
          <w:i/>
          <w:iCs/>
          <w:color w:val="333333"/>
          <w:sz w:val="22"/>
          <w:szCs w:val="22"/>
        </w:rPr>
        <w:t xml:space="preserve">7 chapters mapping to 6 Math Book areas. The two books together provide the complete Physics Edition of the Higgins Unity Framework.</w:t>
      </w:r>
    </w:p>
    <w:p>
      <w:r>
        <w:br w:type="page"/>
      </w:r>
    </w:p>
    <w:p>
      <w:pPr>
        <w:pBdr>
          <w:top w:val="single" w:color="2E75B6" w:sz="4" w:space="1"/>
        </w:pBdr>
        <w:spacing w:after="0" w:before="0"/>
      </w:pPr>
    </w:p>
    <w:p>
      <w:pPr>
        <w:spacing w:after="160" w:before="0"/>
        <w:jc w:val="both"/>
      </w:pPr>
      <w:r>
        <w:rPr>
          <w:rFonts w:ascii="Times New Roman" w:cs="Times New Roman" w:eastAsia="Times New Roman" w:hAnsi="Times New Roman"/>
          <w:b w:val="false"/>
          <w:bCs w:val="false"/>
          <w:i/>
          <w:iCs/>
          <w:color w:val="666666"/>
          <w:sz w:val="22"/>
          <w:szCs w:val="22"/>
        </w:rPr>
        <w:t xml:space="preserve">Framework originator and operator directive: Peter Higgins</w:t>
      </w:r>
    </w:p>
    <w:p>
      <w:pPr>
        <w:spacing w:after="160" w:before="0"/>
        <w:jc w:val="both"/>
      </w:pPr>
      <w:r>
        <w:rPr>
          <w:rFonts w:ascii="Times New Roman" w:cs="Times New Roman" w:eastAsia="Times New Roman" w:hAnsi="Times New Roman"/>
          <w:b w:val="false"/>
          <w:bCs w:val="false"/>
          <w:i/>
          <w:iCs/>
          <w:color w:val="666666"/>
          <w:sz w:val="22"/>
          <w:szCs w:val="22"/>
        </w:rPr>
        <w:t xml:space="preserve">Narrative and document production: Claude (Anthropic)</w:t>
      </w:r>
    </w:p>
    <w:p>
      <w:pPr>
        <w:spacing w:after="160" w:before="0"/>
        <w:jc w:val="both"/>
      </w:pPr>
      <w:r>
        <w:rPr>
          <w:rFonts w:ascii="Times New Roman" w:cs="Times New Roman" w:eastAsia="Times New Roman" w:hAnsi="Times New Roman"/>
          <w:b w:val="false"/>
          <w:bCs w:val="false"/>
          <w:i/>
          <w:iCs/>
          <w:color w:val="666666"/>
          <w:sz w:val="22"/>
          <w:szCs w:val="22"/>
        </w:rPr>
        <w:t xml:space="preserve">Collective review contributions: ChatGPT (OpenAI), Grok (xAI), Gemini (Google), Copilot (Microsoft)</w:t>
      </w:r>
    </w:p>
    <w:p>
      <w:pPr>
        <w:spacing w:after="160" w:before="0"/>
        <w:jc w:val="both"/>
      </w:pPr>
      <w:r>
        <w:rPr>
          <w:rFonts w:ascii="Times New Roman" w:cs="Times New Roman" w:eastAsia="Times New Roman" w:hAnsi="Times New Roman"/>
          <w:b/>
          <w:bCs/>
          <w:i/>
          <w:iCs/>
          <w:color w:val="666666"/>
          <w:sz w:val="22"/>
          <w:szCs w:val="22"/>
        </w:rPr>
        <w:t xml:space="preserve">Evidentiary note: </w:t>
      </w:r>
      <w:r>
        <w:rPr>
          <w:rFonts w:ascii="Times New Roman" w:cs="Times New Roman" w:eastAsia="Times New Roman" w:hAnsi="Times New Roman"/>
          <w:i/>
          <w:iCs/>
          <w:color w:val="666666"/>
          <w:sz w:val="22"/>
          <w:szCs w:val="22"/>
        </w:rPr>
        <w:t xml:space="preserve">This edition is derived from the Mathematician’s Edition (HUF-CONTEXT-01) via controlled subtraction. The same 27 formal results are referenced. Evidentiary tiers are unchanged: CL-03 is ADD* (simulation-supported, real-data gate outstanding). CL-05 is STORE (operator constraint). F.4 is [CONJECTURE]. All domain examples in this edition are illustrative; none constitute empirical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Times New Roman" w:cs="Times New Roman" w:eastAsia="Times New Roman" w:hAnsi="Times New Roman"/>
        <w:color w:val="999999"/>
        <w:sz w:val="16"/>
        <w:szCs w:val="16"/>
      </w:rPr>
      <w:t xml:space="preserve">HUF Advanced Theory and Concepts — Physics Edition</w:t>
    </w:r>
    <w:r>
      <w:rPr>
        <w:rFonts w:ascii="Times New Roman" w:cs="Times New Roman" w:eastAsia="Times New Roman" w:hAnsi="Times New Roman"/>
        <w:color w:val="999999"/>
        <w:sz w:val="16"/>
        <w:szCs w:val="16"/>
      </w:rPr>
      <w:t xml:space="preserve">	HUF-CONTEXT-02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2026-03-17T05:29:20.023Z</dcterms:created>
  <dcterms:modified xsi:type="dcterms:W3CDTF">2026-03-17T05:29:20.023Z</dcterms:modified>
</cp:coreProperties>
</file>

<file path=docProps/custom.xml><?xml version="1.0" encoding="utf-8"?>
<Properties xmlns="http://schemas.openxmlformats.org/officeDocument/2006/custom-properties" xmlns:vt="http://schemas.openxmlformats.org/officeDocument/2006/docPropsVTypes"/>
</file>