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color w:val="2E75B6"/>
          <w:spacing w:val="120"/>
          <w:sz w:val="20"/>
          <w:szCs w:val="20"/>
        </w:rPr>
        <w:t xml:space="preserve">HIGGINS UNITY FRAMEWORK</w:t>
      </w:r>
    </w:p>
    <w:p>
      <w:pPr>
        <w:pBdr>
          <w:bottom w:val="single" w:color="2E75B6" w:sz="6" w:space="1"/>
        </w:pBdr>
        <w:spacing w:after="0" w:before="0"/>
        <w:jc w:val="center"/>
      </w:pPr>
      <w:r>
        <w:rPr>
          <w:rFonts w:ascii="Times New Roman" w:cs="Times New Roman" w:eastAsia="Times New Roman" w:hAnsi="Times New Roman"/>
          <w:b/>
          <w:bCs/>
          <w:color w:val="1F3864"/>
          <w:sz w:val="36"/>
          <w:szCs w:val="36"/>
        </w:rPr>
        <w:t xml:space="preserve">Advanced Theory and Concepts</w:t>
      </w:r>
    </w:p>
    <w:p>
      <w:pPr>
        <w:spacing w:after="60" w:before="120"/>
        <w:jc w:val="center"/>
      </w:pPr>
      <w:r>
        <w:rPr>
          <w:rFonts w:ascii="Times New Roman" w:cs="Times New Roman" w:eastAsia="Times New Roman" w:hAnsi="Times New Roman"/>
          <w:i/>
          <w:iCs/>
          <w:color w:val="333333"/>
          <w:sz w:val="24"/>
          <w:szCs w:val="24"/>
        </w:rPr>
        <w:t xml:space="preserve">Sciences Edition — The Context Book</w:t>
      </w:r>
    </w:p>
    <w:p>
      <w:pPr>
        <w:spacing w:after="60" w:before="0"/>
        <w:jc w:val="center"/>
      </w:pPr>
      <w:r>
        <w:rPr>
          <w:rFonts w:ascii="Times New Roman" w:cs="Times New Roman" w:eastAsia="Times New Roman" w:hAnsi="Times New Roman"/>
          <w:i/>
          <w:iCs/>
          <w:color w:val="2E75B6"/>
          <w:sz w:val="20"/>
          <w:szCs w:val="20"/>
        </w:rPr>
        <w:t xml:space="preserve">Paired with: HUF Advanced Mathematics Reference — Sciences Edition (The Math Book)</w:t>
      </w:r>
    </w:p>
    <w:p>
      <w:pPr>
        <w:spacing w:after="0" w:before="60"/>
        <w:jc w:val="center"/>
      </w:pPr>
      <w:r>
        <w:rPr>
          <w:rFonts w:ascii="Times New Roman" w:cs="Times New Roman" w:eastAsia="Times New Roman" w:hAnsi="Times New Roman"/>
          <w:color w:val="666666"/>
          <w:sz w:val="18"/>
          <w:szCs w:val="18"/>
        </w:rPr>
        <w:t xml:space="preserve">Corpus Reference: HUF-CONTEXT-03  •  Date: 17 March 2026</w:t>
      </w:r>
    </w:p>
    <w:p>
      <w:pPr>
        <w:spacing w:after="300" w:before="60"/>
        <w:jc w:val="center"/>
      </w:pPr>
      <w:r>
        <w:rPr>
          <w:rFonts w:ascii="Times New Roman" w:cs="Times New Roman" w:eastAsia="Times New Roman" w:hAnsi="Times New Roman"/>
          <w:color w:val="666666"/>
          <w:sz w:val="18"/>
          <w:szCs w:val="18"/>
        </w:rPr>
        <w:t xml:space="preserve">Framework Originator: Peter Higgins  •  Narrative: Claude (Anthropic)</w:t>
      </w:r>
    </w:p>
    <w:p>
      <w:pPr>
        <w:pStyle w:val="Heading1"/>
        <w:spacing w:after="200" w:before="360"/>
      </w:pPr>
      <w:r>
        <w:rPr>
          <w:rFonts w:ascii="Times New Roman" w:cs="Times New Roman" w:eastAsia="Times New Roman" w:hAnsi="Times New Roman"/>
          <w:b/>
          <w:bCs/>
          <w:color w:val="1F3864"/>
          <w:sz w:val="28"/>
          <w:szCs w:val="28"/>
        </w:rPr>
        <w:t xml:space="preserve">Preface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This book provides the conceptual narrative, scientific motivation, and operational interpretation for the Higgins Unity Framework, addressed to natural scientists — biologists, chemists, earth scientists, ecologists, and environmental researchers. It is one half of a pair. The companion volume — the Math Book — contains the complete formal mathematics: every definition, theorem, and proof.</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Cross-references of the form "See Math Book [Result X.Y]" direct the reader to the relevant formal statement. The two books are designed to be read side by side or independently.</w:t>
      </w:r>
    </w:p>
    <w:p>
      <w:pPr>
        <w:spacing w:after="160" w:before="0"/>
        <w:jc w:val="both"/>
      </w:pPr>
      <w:r>
        <w:rPr>
          <w:rFonts w:ascii="Times New Roman" w:cs="Times New Roman" w:eastAsia="Times New Roman" w:hAnsi="Times New Roman"/>
          <w:b/>
          <w:bCs/>
          <w:color w:val="333333"/>
          <w:sz w:val="22"/>
          <w:szCs w:val="22"/>
        </w:rPr>
        <w:t xml:space="preserve">For the scientist: </w:t>
      </w:r>
      <w:r>
        <w:rPr>
          <w:rFonts w:ascii="Times New Roman" w:cs="Times New Roman" w:eastAsia="Times New Roman" w:hAnsi="Times New Roman"/>
          <w:color w:val="333333"/>
          <w:sz w:val="22"/>
          <w:szCs w:val="22"/>
        </w:rPr>
        <w:t xml:space="preserve">HUF monitors ratio portfolios — systems where the relevant quantities are proportional shares of a finite whole. You already know these as species composition vectors in ecology, nutrient fraction budgets in biogeochemistry, reaction product distributions in chemistry, and mineral abundance profiles in geology. The mathematical machinery (simplices, entropy, total variation) formalises what scientists often compute informally. What HUF adds is a closed-loop control architecture that treats these distributions as carriers, extracts a scalar observable (effective complexity, Keff), and provides a correction framework with formal robustness guarantees.</w:t>
      </w:r>
    </w:p>
    <w:p>
      <w:pPr>
        <w:spacing w:after="160" w:before="0"/>
        <w:jc w:val="both"/>
      </w:pPr>
      <w:r>
        <w:rPr>
          <w:rFonts w:ascii="Times New Roman" w:cs="Times New Roman" w:eastAsia="Times New Roman" w:hAnsi="Times New Roman"/>
          <w:b/>
          <w:bCs/>
          <w:color w:val="333333"/>
          <w:sz w:val="22"/>
          <w:szCs w:val="22"/>
        </w:rPr>
        <w:t xml:space="preserve">Reading guide: </w:t>
      </w:r>
      <w:r>
        <w:rPr>
          <w:rFonts w:ascii="Times New Roman" w:cs="Times New Roman" w:eastAsia="Times New Roman" w:hAnsi="Times New Roman"/>
          <w:color w:val="333333"/>
          <w:sz w:val="22"/>
          <w:szCs w:val="22"/>
        </w:rPr>
        <w:t xml:space="preserve">The seven chapters follow the same logical sequence as the Math Book’s six areas. Chapter 1 introduces the carrier (ρ on the simplex). Chapter 2 introduces the observable (Keff). Chapters 3–4 establish the control pipeline via feedback control analogy. Chapter 5 covers calibration. Chapter 6 develops the amplification network. Chapter 7 synthesises and identifies the validation path.</w:t>
      </w:r>
    </w:p>
    <w:p>
      <w:pPr>
        <w:spacing w:after="160" w:before="0"/>
        <w:jc w:val="both"/>
      </w:pPr>
      <w:r>
        <w:rPr>
          <w:rFonts w:ascii="Times New Roman" w:cs="Times New Roman" w:eastAsia="Times New Roman" w:hAnsi="Times New Roman"/>
          <w:b/>
          <w:bCs/>
          <w:color w:val="333333"/>
          <w:sz w:val="22"/>
          <w:szCs w:val="22"/>
        </w:rPr>
        <w:t xml:space="preserve">Derivation note: </w:t>
      </w:r>
      <w:r>
        <w:rPr>
          <w:rFonts w:ascii="Times New Roman" w:cs="Times New Roman" w:eastAsia="Times New Roman" w:hAnsi="Times New Roman"/>
          <w:color w:val="333333"/>
          <w:sz w:val="22"/>
          <w:szCs w:val="22"/>
        </w:rPr>
        <w:t xml:space="preserve">This edition is derived from the Mathematician’s Edition by controlled subtraction: the same codebook, the same CL sequence, the same 27 formal results — but with examples from biology, chemistry, earth science, and ecology replacing the mathematician’s abstract examples and the physicist’s laboratory examples.</w:t>
      </w:r>
    </w:p>
    <w:p>
      <w:r>
        <w:br w:type="page"/>
      </w:r>
    </w:p>
    <w:p>
      <w:pPr>
        <w:pStyle w:val="Heading1"/>
        <w:spacing w:after="200" w:before="360"/>
      </w:pPr>
      <w:r>
        <w:rPr>
          <w:rFonts w:ascii="Times New Roman" w:cs="Times New Roman" w:eastAsia="Times New Roman" w:hAnsi="Times New Roman"/>
          <w:b/>
          <w:bCs/>
          <w:color w:val="1F3864"/>
          <w:sz w:val="28"/>
          <w:szCs w:val="28"/>
        </w:rPr>
        <w:t xml:space="preserve">§1  The Ratio-State Carrier</w:t>
      </w:r>
    </w:p>
    <w:p>
      <w:pPr>
        <w:spacing w:after="160" w:before="0"/>
        <w:ind w:left="480"/>
        <w:jc w:val="both"/>
      </w:pPr>
      <w:r>
        <w:rPr>
          <w:rFonts w:ascii="Times New Roman" w:cs="Times New Roman" w:eastAsia="Times New Roman" w:hAnsi="Times New Roman"/>
          <w:i/>
          <w:iCs/>
          <w:color w:val="2E75B6"/>
          <w:sz w:val="22"/>
          <w:szCs w:val="22"/>
        </w:rPr>
        <w:t xml:space="preserve">See Math Book Area A (Definitions A.1–A.2, Theorems A.3–A.7)</w:t>
      </w:r>
    </w:p>
    <w:p>
      <w:pPr>
        <w:pStyle w:val="Heading2"/>
        <w:spacing w:after="160" w:before="280"/>
      </w:pPr>
      <w:r>
        <w:rPr>
          <w:rFonts w:ascii="Times New Roman" w:cs="Times New Roman" w:eastAsia="Times New Roman" w:hAnsi="Times New Roman"/>
          <w:b/>
          <w:bCs/>
          <w:color w:val="1F3864"/>
          <w:sz w:val="24"/>
          <w:szCs w:val="24"/>
        </w:rPr>
        <w:t xml:space="preserve">1.1  The Central Design Choice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Every monitoring framework must choose a carrier — the fundamental mathematical object on which all operations act. HUF’s carrier is the ratio-state vector ρ ∈ Δⁿ⁻¹, a point on the probability simplex.</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For a scientist, the simplex is the natural home of any compositional dataset — data where the components represent parts of a whole and must sum to a constant. Species relative abundances in an ecological community, elemental mass fractions in a geochemical sample, and product yields in a chemical reaction are all compositional. The constraint Σρᵢ = 1 is a closure condition: it says nothing about absolute magnitude, only about proportional allocation.</w:t>
      </w:r>
    </w:p>
    <w:p>
      <w:pPr>
        <w:pStyle w:val="Heading2"/>
        <w:spacing w:after="160" w:before="280"/>
      </w:pPr>
      <w:r>
        <w:rPr>
          <w:rFonts w:ascii="Times New Roman" w:cs="Times New Roman" w:eastAsia="Times New Roman" w:hAnsi="Times New Roman"/>
          <w:b/>
          <w:bCs/>
          <w:color w:val="1F3864"/>
          <w:sz w:val="24"/>
          <w:szCs w:val="24"/>
        </w:rPr>
        <w:t xml:space="preserve">1.2  Why the Simplex?</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simplex is the natural habitat for any system where the relevant quantities are shares of a conserved total. In ecology, the total relative abundance is conserved at unity by definition. In chemistry, mass balance enforces closure. In earth science, mineral mode percentages sum to 100%.</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Conservation as Closure.  </w:t>
      </w:r>
      <w:r>
        <w:rPr>
          <w:rFonts w:ascii="Times New Roman" w:cs="Times New Roman" w:eastAsia="Times New Roman" w:hAnsi="Times New Roman"/>
          <w:color w:val="333333"/>
          <w:sz w:val="22"/>
          <w:szCs w:val="22"/>
        </w:rPr>
        <w:t xml:space="preserve">The simplex encodes a closure condition: the total proportion is fixed at unity. Just as mass balance constrains chemical reactions and population closure constrains community ecology, the simplex constrains ratio states. HUF’s operations are simplex-preserving maps — they respect closure automatically.</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This gives HUF several properties for free. Scale invariance: if the total biomass doubles but the species composition stays the same, ρ is unchanged (Theorem A.7). Composition closure: any mixture of valid compositions is still a valid composition. Bounded domain: TV(ρ, ρ′) ∈ [0, 1], giving drift measurements a natural, dimensionless scale.</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Species Composition.  </w:t>
      </w:r>
      <w:r>
        <w:rPr>
          <w:rFonts w:ascii="Times New Roman" w:cs="Times New Roman" w:eastAsia="Times New Roman" w:hAnsi="Times New Roman"/>
          <w:color w:val="333333"/>
          <w:sz w:val="22"/>
          <w:szCs w:val="22"/>
        </w:rPr>
        <w:t xml:space="preserve">A wetland with n plant species: ρ = (p₁, p₂, …, pₙ) where pᵢ is the relative cover of species i, with Σpᵢ = 1. These live on the simplex by construction. If an invasive species increases its cover fraction, ρ moves on the simplex — necessarily at the expense of other species. HUF monitors this movement.</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Nutrient Budget.  </w:t>
      </w:r>
      <w:r>
        <w:rPr>
          <w:rFonts w:ascii="Times New Roman" w:cs="Times New Roman" w:eastAsia="Times New Roman" w:hAnsi="Times New Roman"/>
          <w:color w:val="333333"/>
          <w:sz w:val="22"/>
          <w:szCs w:val="22"/>
        </w:rPr>
        <w:t xml:space="preserve">A lake nutrient budget partitioned into n pools (dissolved inorganic nitrogen, particulate organic nitrogen, phytoplankton-bound N, etc.): ρᵢ = Nᵢ/N_total. The ρ vector on the simplex captures the nutrient partitioning. Seasonal shifts in ρ reflect biogeochemical cycling; anomalous shifts may signal eutrophication or external loading changes.</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Reaction Products.  </w:t>
      </w:r>
      <w:r>
        <w:rPr>
          <w:rFonts w:ascii="Times New Roman" w:cs="Times New Roman" w:eastAsia="Times New Roman" w:hAnsi="Times New Roman"/>
          <w:color w:val="333333"/>
          <w:sz w:val="22"/>
          <w:szCs w:val="22"/>
        </w:rPr>
        <w:t xml:space="preserve">A catalytic reaction producing n products: ρᵢ = yieldᵢ/total_yield. The simplex captures selectivity. Catalyst deactivation appears as drift in ρ toward less selective product distributions.</w:t>
      </w:r>
    </w:p>
    <w:p>
      <w:pPr>
        <w:pStyle w:val="Heading2"/>
        <w:spacing w:after="160" w:before="280"/>
      </w:pPr>
      <w:r>
        <w:rPr>
          <w:rFonts w:ascii="Times New Roman" w:cs="Times New Roman" w:eastAsia="Times New Roman" w:hAnsi="Times New Roman"/>
          <w:b/>
          <w:bCs/>
          <w:color w:val="1F3864"/>
          <w:sz w:val="24"/>
          <w:szCs w:val="24"/>
        </w:rPr>
        <w:t xml:space="preserve">1.3  CL-01 as Admissibility Gate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CL-01 enforces the closure condition Σρᵢ = 1. It is the input validator. No data enters the pipeline unless it is a valid point on the simplex.</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mathematical content is trivial (Theorem A.3). The operational content is not: field data, analytical measurements, and survey results rarely sum to exactly 1.000. Incomplete sampling, measurement error, or unidentified components leave a gap. CL-01 forces explicit handling — renormalise, add an "other" category, or reject with a diagnostic.</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Vegetation Survey.  </w:t>
      </w:r>
      <w:r>
        <w:rPr>
          <w:rFonts w:ascii="Times New Roman" w:cs="Times New Roman" w:eastAsia="Times New Roman" w:hAnsi="Times New Roman"/>
          <w:color w:val="333333"/>
          <w:sz w:val="22"/>
          <w:szCs w:val="22"/>
        </w:rPr>
        <w:t xml:space="preserve">A quadrat survey records species cover percentages summing to 87% (bare ground unrecorded) or 113% (overlapping canopy layers double-counted). CL-01 flags both. The ecologist must decide: add a "bare ground" component, cap at 100% with explicit overlap handling, or re-survey. CL-01 forces the decision to be made, not silently ignored.</w:t>
      </w:r>
    </w:p>
    <w:p>
      <w:pPr>
        <w:pStyle w:val="Heading2"/>
        <w:spacing w:after="160" w:before="280"/>
      </w:pPr>
      <w:r>
        <w:rPr>
          <w:rFonts w:ascii="Times New Roman" w:cs="Times New Roman" w:eastAsia="Times New Roman" w:hAnsi="Times New Roman"/>
          <w:b/>
          <w:bCs/>
          <w:color w:val="1F3864"/>
          <w:sz w:val="24"/>
          <w:szCs w:val="24"/>
        </w:rPr>
        <w:t xml:space="preserve">1.4  The Tangent Space and CL-05</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CL-05 corrections must keep ρ on the simplex. This constrains corrections to the tangent space TₚΔ = {v : Σvᵢ = 0} — the zero-sum hyperplane (Theorem A.4). Increasing one component’s share requires decreasing others. This is the mathematical expression of competitive exclusion in ecology, mass balance in chemistry, and budget closure in resource allocation.</w:t>
      </w:r>
    </w:p>
    <w:p>
      <w:pPr>
        <w:pStyle w:val="Heading2"/>
        <w:spacing w:after="160" w:before="280"/>
      </w:pPr>
      <w:r>
        <w:rPr>
          <w:rFonts w:ascii="Times New Roman" w:cs="Times New Roman" w:eastAsia="Times New Roman" w:hAnsi="Times New Roman"/>
          <w:b/>
          <w:bCs/>
          <w:color w:val="1F3864"/>
          <w:sz w:val="24"/>
          <w:szCs w:val="24"/>
        </w:rPr>
        <w:t xml:space="preserve">1.5  Total Variation as House Default</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CL-02 needs a distance measure on the simplex. The house default is Total Variation: TV(ρ, ρ′) = ½Σ|ρᵢ − ρᵢ′|. Scientists will recognise this as half the sum of absolute differences in proportional composition. TV has three virtues: it is a metric (Theorem A.6), bounded in [0,1], and operationally interpretable as the maximum total proportion that has been reassigned between components.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architecture is metric-agnostic — Bray–Curtis dissimilarity (standard in ecology), Jensen–Shannon divergence, or Aitchison distance (standard in compositional data analysis) could substitute. TV is the default for its interpretability and bounded range.</w:t>
      </w:r>
    </w:p>
    <w:p>
      <w:r>
        <w:br w:type="page"/>
      </w:r>
    </w:p>
    <w:p>
      <w:pPr>
        <w:pStyle w:val="Heading1"/>
        <w:spacing w:after="200" w:before="360"/>
      </w:pPr>
      <w:r>
        <w:rPr>
          <w:rFonts w:ascii="Times New Roman" w:cs="Times New Roman" w:eastAsia="Times New Roman" w:hAnsi="Times New Roman"/>
          <w:b/>
          <w:bCs/>
          <w:color w:val="1F3864"/>
          <w:sz w:val="28"/>
          <w:szCs w:val="28"/>
        </w:rPr>
        <w:t xml:space="preserve">§2  Effective Complexity as Observable</w:t>
      </w:r>
    </w:p>
    <w:p>
      <w:pPr>
        <w:spacing w:after="160" w:before="0"/>
        <w:ind w:left="480"/>
        <w:jc w:val="both"/>
      </w:pPr>
      <w:r>
        <w:rPr>
          <w:rFonts w:ascii="Times New Roman" w:cs="Times New Roman" w:eastAsia="Times New Roman" w:hAnsi="Times New Roman"/>
          <w:i/>
          <w:iCs/>
          <w:color w:val="2E75B6"/>
          <w:sz w:val="22"/>
          <w:szCs w:val="22"/>
        </w:rPr>
        <w:t xml:space="preserve">See Math Book Area B (Definitions B.1–B.3, Theorems B.4–B.6)</w:t>
      </w:r>
    </w:p>
    <w:p>
      <w:pPr>
        <w:pStyle w:val="Heading2"/>
        <w:spacing w:after="160" w:before="280"/>
      </w:pPr>
      <w:r>
        <w:rPr>
          <w:rFonts w:ascii="Times New Roman" w:cs="Times New Roman" w:eastAsia="Times New Roman" w:hAnsi="Times New Roman"/>
          <w:b/>
          <w:bCs/>
          <w:color w:val="1F3864"/>
          <w:sz w:val="24"/>
          <w:szCs w:val="24"/>
        </w:rPr>
        <w:t xml:space="preserve">2.1  Demodulation: Extracting a Scalar</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carrier ρ is a vector. Monitoring pipelines need scalar triggers. HUF’s demodulation step extracts Keff = exp(H(ρ)) from ρ — the effective number of components. Ecologists will immediately recognise this: Keff(S) = exp(H) is the "effective number of species" (Jost, 2006), a diversity measure that converts Shannon entropy into a number with intuitive units.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carrier/observable distinction (Theorem B.6) maps directly to the species composition vs diversity distinction that ecologists navigate daily. The composition vector ρ contains the full information; the diversity index Keff is a scalar summary. The pipeline controls ρ; Keff is a consequence.</w:t>
      </w:r>
    </w:p>
    <w:p>
      <w:pPr>
        <w:pStyle w:val="Heading2"/>
        <w:spacing w:after="160" w:before="280"/>
      </w:pPr>
      <w:r>
        <w:rPr>
          <w:rFonts w:ascii="Times New Roman" w:cs="Times New Roman" w:eastAsia="Times New Roman" w:hAnsi="Times New Roman"/>
          <w:b/>
          <w:bCs/>
          <w:color w:val="1F3864"/>
          <w:sz w:val="24"/>
          <w:szCs w:val="24"/>
        </w:rPr>
        <w:t xml:space="preserve">2.2  Shannon vs Herfindahl</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HUF offers two Keff conventions. The Shannon convention, Keff(S) = exp(H(ρ)), gives the effective number of equally-abundant components. The Herfindahl convention, Keff(H) = 1/Σρᵢ², is the inverse Simpson index — always more conservative: Keff(H) ≤ Keff(S) (Theorem B.4). Ecologists use both routinely.</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Community Diversity.  </w:t>
      </w:r>
      <w:r>
        <w:rPr>
          <w:rFonts w:ascii="Times New Roman" w:cs="Times New Roman" w:eastAsia="Times New Roman" w:hAnsi="Times New Roman"/>
          <w:color w:val="333333"/>
          <w:sz w:val="22"/>
          <w:szCs w:val="22"/>
        </w:rPr>
        <w:t xml:space="preserve">A wetland plant community with 20 species, 3 dominant (each ~25% cover) and 17 rare (each ~1.5% cover): Keff(S) ≈ 8.2 effective species, Keff(H) ≈ 5.4 effective species. The Herfindahl measure downweights rare species more aggressively — useful when dominance structure matters more than total richness.</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Chemical Selectivity.  </w:t>
      </w:r>
      <w:r>
        <w:rPr>
          <w:rFonts w:ascii="Times New Roman" w:cs="Times New Roman" w:eastAsia="Times New Roman" w:hAnsi="Times New Roman"/>
          <w:color w:val="333333"/>
          <w:sz w:val="22"/>
          <w:szCs w:val="22"/>
        </w:rPr>
        <w:t xml:space="preserve">A catalytic cracking reaction with 8 products: if one product dominates at 60% yield, Keff(H) ≈ 2.8 effective products. As the catalyst ages and selectivity decreases, Keff rises toward 8 (uniform distribution). CL-02 monitoring Keff drift tracks catalyst deactivation without needing to specify which product shifts.</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Mineral Assemblage.  </w:t>
      </w:r>
      <w:r>
        <w:rPr>
          <w:rFonts w:ascii="Times New Roman" w:cs="Times New Roman" w:eastAsia="Times New Roman" w:hAnsi="Times New Roman"/>
          <w:color w:val="333333"/>
          <w:sz w:val="22"/>
          <w:szCs w:val="22"/>
        </w:rPr>
        <w:t xml:space="preserve">A sandstone with 5 mineral phases: if quartz dominates at 80%, Keff(H) ≈ 1.6 effective minerals. Diagenetic alteration that redistributes material toward clay minerals increases Keff. The Shannon measure captures minor phase growth more sensitively; the Herfindahl measure reflects the dominant phase more directly.</w:t>
      </w:r>
    </w:p>
    <w:p>
      <w:pPr>
        <w:pStyle w:val="Heading2"/>
        <w:spacing w:after="160" w:before="280"/>
      </w:pPr>
      <w:r>
        <w:rPr>
          <w:rFonts w:ascii="Times New Roman" w:cs="Times New Roman" w:eastAsia="Times New Roman" w:hAnsi="Times New Roman"/>
          <w:b/>
          <w:bCs/>
          <w:color w:val="1F3864"/>
          <w:sz w:val="24"/>
          <w:szCs w:val="24"/>
        </w:rPr>
        <w:t xml:space="preserve">2.3  The Unique Maximum</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Shannon entropy is strictly concave on the simplex (Theorem B.5), so Keff(S) has a unique maximum at the uniform distribution ρᵢ = 1/n, where Keff = n. This is the maximum-diversity state. Any deviation from uniformity reduces Keff, giving CL-02 a natural polarity: declining Keff means increasing dominance; rising Keff means increasing evenness.</w:t>
      </w:r>
    </w:p>
    <w:p>
      <w:pPr>
        <w:pStyle w:val="Heading2"/>
        <w:spacing w:after="160" w:before="280"/>
      </w:pPr>
      <w:r>
        <w:rPr>
          <w:rFonts w:ascii="Times New Roman" w:cs="Times New Roman" w:eastAsia="Times New Roman" w:hAnsi="Times New Roman"/>
          <w:b/>
          <w:bCs/>
          <w:color w:val="1F3864"/>
          <w:sz w:val="24"/>
          <w:szCs w:val="24"/>
        </w:rPr>
        <w:t xml:space="preserve">2.4  Carrier vs Observable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distinction between ρ (carrier) and Keff (observable) is the central ontological commitment. Two communities can have identical Keff but completely different composition vectors ρ. A wetland dominated by Phragmites and a wetland dominated by Typha may both show Keff ≈ 3, but their ecological functioning differs profoundly. Never confuse diversity with composition.</w:t>
      </w:r>
    </w:p>
    <w:p>
      <w:r>
        <w:br w:type="page"/>
      </w:r>
    </w:p>
    <w:p>
      <w:pPr>
        <w:pStyle w:val="Heading1"/>
        <w:spacing w:after="200" w:before="360"/>
      </w:pPr>
      <w:r>
        <w:rPr>
          <w:rFonts w:ascii="Times New Roman" w:cs="Times New Roman" w:eastAsia="Times New Roman" w:hAnsi="Times New Roman"/>
          <w:b/>
          <w:bCs/>
          <w:color w:val="1F3864"/>
          <w:sz w:val="28"/>
          <w:szCs w:val="28"/>
        </w:rPr>
        <w:t xml:space="preserve">§3  The Control Pipeline</w:t>
      </w:r>
    </w:p>
    <w:p>
      <w:pPr>
        <w:spacing w:after="160" w:before="0"/>
        <w:ind w:left="480"/>
        <w:jc w:val="both"/>
      </w:pPr>
      <w:r>
        <w:rPr>
          <w:rFonts w:ascii="Times New Roman" w:cs="Times New Roman" w:eastAsia="Times New Roman" w:hAnsi="Times New Roman"/>
          <w:i/>
          <w:iCs/>
          <w:color w:val="2E75B6"/>
          <w:sz w:val="22"/>
          <w:szCs w:val="22"/>
        </w:rPr>
        <w:t xml:space="preserve">See Math Book Area D (Definitions D.1–D.2, Theorem D.3)</w:t>
      </w:r>
    </w:p>
    <w:p>
      <w:pPr>
        <w:pStyle w:val="Heading2"/>
        <w:spacing w:after="160" w:before="280"/>
      </w:pPr>
      <w:r>
        <w:rPr>
          <w:rFonts w:ascii="Times New Roman" w:cs="Times New Roman" w:eastAsia="Times New Roman" w:hAnsi="Times New Roman"/>
          <w:b/>
          <w:bCs/>
          <w:color w:val="1F3864"/>
          <w:sz w:val="24"/>
          <w:szCs w:val="24"/>
        </w:rPr>
        <w:t xml:space="preserve">3.1  The PLL Homomorphism</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CL pipeline is structurally homomorphic to a phase-locked loop (Theorem D.3). While natural scientists may be less familiar with PLLs than physicists or engineers, the concept is accessible: a PLL is a feedback system that locks onto a reference signal by continuously comparing its output against the reference and correcting the error. The same structure — compare, compute error, correct — underlies every monitoring-and-response system in science, from homeostatic regulation in biology to thermostat control in chemistry.</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Homomorphism Scope.  </w:t>
      </w:r>
      <w:r>
        <w:rPr>
          <w:rFonts w:ascii="Times New Roman" w:cs="Times New Roman" w:eastAsia="Times New Roman" w:hAnsi="Times New Roman"/>
          <w:color w:val="333333"/>
          <w:sz w:val="22"/>
          <w:szCs w:val="22"/>
        </w:rPr>
        <w:t xml:space="preserve">The PLL→CL homomorphism maps architecture, control topology, failure modes, and tuning intuition. It does not transfer parameter values, which require domain calibration. The homomorphism tells you the shape of the solution; calibration fills in the numbers.</w:t>
      </w:r>
    </w:p>
    <w:p>
      <w:pPr>
        <w:pStyle w:val="Heading2"/>
        <w:spacing w:after="160" w:before="280"/>
      </w:pPr>
      <w:r>
        <w:rPr>
          <w:rFonts w:ascii="Times New Roman" w:cs="Times New Roman" w:eastAsia="Times New Roman" w:hAnsi="Times New Roman"/>
          <w:b/>
          <w:bCs/>
          <w:color w:val="1F3864"/>
          <w:sz w:val="24"/>
          <w:szCs w:val="24"/>
        </w:rPr>
        <w:t xml:space="preserve">3.2  The Five Stages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CL-01 (Validity) = Input gate. Ensures data is a valid composition (sums to 1). In biological terms: the gatekeeper that rejects malformed data before it enters the pipeline.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CL-02 (Drift Trigger) = Comparison stage. Measures how far current composition has drifted from reference. In ecological terms: the monitoring step that asks "how different is today’s community from the baseline?"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CL-03 (Complexity Gauge) = Diversity extraction. Computes Keff from ρ. In ecological terms: the step that converts a species composition vector into a diversity index.</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CL-04 (Verdict Logic) = Classification. Categorises system state as GREEN (within normal bounds), AMBER (drifting — increased monitoring needed), or RED/CRITICAL (intervention required). In ecological terms: the traffic-light assessment of ecosystem condition.</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CL-05 (Restorative Control) = Correction. Applies a zero-sum adjustment to ρ. In ecological terms: the management intervention (remove invasive, augment declining species, modify nutrient loading). Currently STORE — records the recommended correction but requires human authorisation before execution.</w:t>
      </w:r>
    </w:p>
    <w:p>
      <w:pPr>
        <w:pStyle w:val="Heading2"/>
        <w:spacing w:after="160" w:before="280"/>
      </w:pPr>
      <w:r>
        <w:rPr>
          <w:rFonts w:ascii="Times New Roman" w:cs="Times New Roman" w:eastAsia="Times New Roman" w:hAnsi="Times New Roman"/>
          <w:b/>
          <w:bCs/>
          <w:color w:val="1F3864"/>
          <w:sz w:val="24"/>
          <w:szCs w:val="24"/>
        </w:rPr>
        <w:t xml:space="preserve">3.3  What the Homomorphism Buys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homomorphism preserves four things: composition (stages run in fixed order), feedback topology (the loop closes), stability conditions (overcorrection is as dangerous as undercorrection), and the speed-robustness trade-off (fast response comes at the cost of sensitivity to model error). These are universal properties of any feedback system, from enzyme regulation to climate feedbacks.</w:t>
      </w:r>
    </w:p>
    <w:p>
      <w:r>
        <w:br w:type="page"/>
      </w:r>
    </w:p>
    <w:p>
      <w:pPr>
        <w:pStyle w:val="Heading1"/>
        <w:spacing w:after="200" w:before="360"/>
      </w:pPr>
      <w:r>
        <w:rPr>
          <w:rFonts w:ascii="Times New Roman" w:cs="Times New Roman" w:eastAsia="Times New Roman" w:hAnsi="Times New Roman"/>
          <w:b/>
          <w:bCs/>
          <w:color w:val="1F3864"/>
          <w:sz w:val="28"/>
          <w:szCs w:val="28"/>
        </w:rPr>
        <w:t xml:space="preserve">§4  Failure Modes and Engineering Lineage</w:t>
      </w:r>
    </w:p>
    <w:p>
      <w:pPr>
        <w:spacing w:after="160" w:before="0"/>
        <w:ind w:left="480"/>
        <w:jc w:val="both"/>
      </w:pPr>
      <w:r>
        <w:rPr>
          <w:rFonts w:ascii="Times New Roman" w:cs="Times New Roman" w:eastAsia="Times New Roman" w:hAnsi="Times New Roman"/>
          <w:i/>
          <w:iCs/>
          <w:color w:val="2E75B6"/>
          <w:sz w:val="22"/>
          <w:szCs w:val="22"/>
        </w:rPr>
        <w:t xml:space="preserve">See Math Book Area D (Theorems D.3–D.4, D.6; Definition D.5)</w:t>
      </w:r>
    </w:p>
    <w:p>
      <w:pPr>
        <w:pStyle w:val="Heading2"/>
        <w:spacing w:after="160" w:before="280"/>
      </w:pPr>
      <w:r>
        <w:rPr>
          <w:rFonts w:ascii="Times New Roman" w:cs="Times New Roman" w:eastAsia="Times New Roman" w:hAnsi="Times New Roman"/>
          <w:b/>
          <w:bCs/>
          <w:color w:val="1F3864"/>
          <w:sz w:val="24"/>
          <w:szCs w:val="24"/>
        </w:rPr>
        <w:t xml:space="preserve">4.1  Inherited Failure Modes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PLL homomorphism gives HUF a complete failure mode catalogue (Theorem D.4). Each mode has a scientific analogue.</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Cycle Slipping → Keff Overshoot.  </w:t>
      </w:r>
      <w:r>
        <w:rPr>
          <w:rFonts w:ascii="Times New Roman" w:cs="Times New Roman" w:eastAsia="Times New Roman" w:hAnsi="Times New Roman"/>
          <w:color w:val="333333"/>
          <w:sz w:val="22"/>
          <w:szCs w:val="22"/>
        </w:rPr>
        <w:t xml:space="preserve">The correction overshoots and the system jumps to a new basin. In ecology: a restoration intervention that removes an invasive species too aggressively, causing a secondary invasive to fill the niche. The system oscillates between states instead of converging. Mitigation: increase damping (slower, more conservative corrections).</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False Lock → Local Keff Optimum.  </w:t>
      </w:r>
      <w:r>
        <w:rPr>
          <w:rFonts w:ascii="Times New Roman" w:cs="Times New Roman" w:eastAsia="Times New Roman" w:hAnsi="Times New Roman"/>
          <w:color w:val="333333"/>
          <w:sz w:val="22"/>
          <w:szCs w:val="22"/>
        </w:rPr>
        <w:t xml:space="preserve">The pipeline converges to a state that satisfies the monitoring criteria but is not the target state. In ecology: an alternative stable state that has similar diversity (Keff) to the reference community but completely different species composition. Mitigation: full-state comparison (ρ vs ρ*), not just Keff matching.</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Loss of Lock → Regime Shift.  </w:t>
      </w:r>
      <w:r>
        <w:rPr>
          <w:rFonts w:ascii="Times New Roman" w:cs="Times New Roman" w:eastAsia="Times New Roman" w:hAnsi="Times New Roman"/>
          <w:color w:val="333333"/>
          <w:sz w:val="22"/>
          <w:szCs w:val="22"/>
        </w:rPr>
        <w:t xml:space="preserve">An external shock pushes the system beyond the correctable range. In ecology: a catastrophic regime shift (lake eutrophication, coral bleaching event, desertification) that exceeds the adaptive capacity of the management framework. Mitigation: CL-05 enters STORE mode and requires human reassessment of the reference state.</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Jitter → Keff Variance Growth.  </w:t>
      </w:r>
      <w:r>
        <w:rPr>
          <w:rFonts w:ascii="Times New Roman" w:cs="Times New Roman" w:eastAsia="Times New Roman" w:hAnsi="Times New Roman"/>
          <w:color w:val="333333"/>
          <w:sz w:val="22"/>
          <w:szCs w:val="22"/>
        </w:rPr>
        <w:t xml:space="preserve">Below-threshold drifts accumulate between monitoring cycles. In ecology: gradual compositional change between annual surveys that individually never triggers an alert but cumulatively represents significant shift. Mitigation: monitoring frequency must exceed the drift accumulation rate.</w:t>
      </w:r>
    </w:p>
    <w:p>
      <w:pPr>
        <w:pStyle w:val="Heading2"/>
        <w:spacing w:after="160" w:before="280"/>
      </w:pPr>
      <w:r>
        <w:rPr>
          <w:rFonts w:ascii="Times New Roman" w:cs="Times New Roman" w:eastAsia="Times New Roman" w:hAnsi="Times New Roman"/>
          <w:b/>
          <w:bCs/>
          <w:color w:val="1F3864"/>
          <w:sz w:val="24"/>
          <w:szCs w:val="24"/>
        </w:rPr>
        <w:t xml:space="preserve">4.2  Engineering Lineage</w:t>
      </w:r>
    </w:p>
    <w:p>
      <w:pPr>
        <w:spacing w:after="160" w:before="120"/>
        <w:jc w:val="both"/>
      </w:pPr>
      <w:r>
        <w:rPr>
          <w:rFonts w:ascii="Times New Roman" w:cs="Times New Roman" w:eastAsia="Times New Roman" w:hAnsi="Times New Roman"/>
          <w:b/>
          <w:bCs/>
          <w:color w:val="333333"/>
          <w:sz w:val="22"/>
          <w:szCs w:val="22"/>
        </w:rPr>
        <w:t xml:space="preserve">Table 1 — Engineering Lineage of CL Stages (Sciences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2600"/>
        <w:gridCol w:w="2760"/>
      </w:tblGrid>
      <w:tr>
        <w:tc>
          <w:tcPr>
            <w:tcW w:type="dxa" w:w="1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CL Stage</w:t>
            </w:r>
          </w:p>
        </w:tc>
        <w:tc>
          <w:tcPr>
            <w:tcW w:type="dxa" w:w="2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PLL Component</w:t>
            </w:r>
          </w:p>
        </w:tc>
        <w:tc>
          <w:tcPr>
            <w:tcW w:type="dxa" w:w="2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Scientific Analogue</w:t>
            </w:r>
          </w:p>
        </w:tc>
        <w:tc>
          <w:tcPr>
            <w:tcW w:type="dxa" w:w="2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HUF Function</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CL-01</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Feedback Divider</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Data quality gate</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Admissibility</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CL-02</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Phase Detector</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Baseline comparison</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TV drift trigger</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CL-03</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Loop Filter / Discrim.</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Diversity calculation</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Keff gauge</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CL-04</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Lock Detector / AGC</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Condition assessment</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Verdict logic</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CL-05</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VCO</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Management action</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Restorative control</w:t>
            </w:r>
          </w:p>
        </w:tc>
      </w:tr>
    </w:tbl>
    <w:p>
      <w:pPr>
        <w:pStyle w:val="Heading2"/>
        <w:spacing w:after="160" w:before="280"/>
      </w:pPr>
      <w:r>
        <w:rPr>
          <w:rFonts w:ascii="Times New Roman" w:cs="Times New Roman" w:eastAsia="Times New Roman" w:hAnsi="Times New Roman"/>
          <w:b/>
          <w:bCs/>
          <w:color w:val="1F3864"/>
          <w:sz w:val="24"/>
          <w:szCs w:val="24"/>
        </w:rPr>
        <w:t xml:space="preserve">4.3  Hysteresis: Preventing Classification Jitter</w:t>
      </w:r>
    </w:p>
    <w:p>
      <w:pPr>
        <w:spacing w:after="160" w:before="0"/>
        <w:ind w:left="480"/>
        <w:jc w:val="both"/>
      </w:pPr>
      <w:r>
        <w:rPr>
          <w:rFonts w:ascii="Times New Roman" w:cs="Times New Roman" w:eastAsia="Times New Roman" w:hAnsi="Times New Roman"/>
          <w:i/>
          <w:iCs/>
          <w:color w:val="2E75B6"/>
          <w:sz w:val="22"/>
          <w:szCs w:val="22"/>
        </w:rPr>
        <w:t xml:space="preserve">See Math Book Definition D.5; Theorem D.6</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A monitored system hovering near a CL-04 threshold will oscillate between GREEN and AMBER every monitoring cycle. The hysteresis protocol (Definition D.5) eliminates this with two parameters: an escalation guard η and a persistence count m.</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Wetland Monitoring.  </w:t>
      </w:r>
      <w:r>
        <w:rPr>
          <w:rFonts w:ascii="Times New Roman" w:cs="Times New Roman" w:eastAsia="Times New Roman" w:hAnsi="Times New Roman"/>
          <w:color w:val="333333"/>
          <w:sz w:val="22"/>
          <w:szCs w:val="22"/>
        </w:rPr>
        <w:t xml:space="preserve">A Ramsar wetland ecological character assessment hovers near the AMBER threshold during seasonal fluctuation. Without hysteresis, the site alternates between "stable" and "changing" every quarterly survey. Setting η = 0.05 TV and m = 3 requires the site to exceed the threshold by 0.05 for three consecutive surveys before escalation. This eliminates false alarms from normal seasonal variation.</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Water Quality.  </w:t>
      </w:r>
      <w:r>
        <w:rPr>
          <w:rFonts w:ascii="Times New Roman" w:cs="Times New Roman" w:eastAsia="Times New Roman" w:hAnsi="Times New Roman"/>
          <w:color w:val="333333"/>
          <w:sz w:val="22"/>
          <w:szCs w:val="22"/>
        </w:rPr>
        <w:t xml:space="preserve">A lake water quality index oscillates near the "eutrophic" boundary during summer algal blooms. Hysteresis with m = 4 (four consecutive monthly readings above threshold) distinguishes transient bloom events from persistent eutrophication. The rate of false classification drops as exp(−η²/(2σ²))/m (Theorem D.6).</w:t>
      </w:r>
    </w:p>
    <w:p>
      <w:r>
        <w:br w:type="page"/>
      </w:r>
    </w:p>
    <w:p>
      <w:pPr>
        <w:pStyle w:val="Heading1"/>
        <w:spacing w:after="200" w:before="360"/>
      </w:pPr>
      <w:r>
        <w:rPr>
          <w:rFonts w:ascii="Times New Roman" w:cs="Times New Roman" w:eastAsia="Times New Roman" w:hAnsi="Times New Roman"/>
          <w:b/>
          <w:bCs/>
          <w:color w:val="1F3864"/>
          <w:sz w:val="28"/>
          <w:szCs w:val="28"/>
        </w:rPr>
        <w:t xml:space="preserve">§5  Calibration Philosophy</w:t>
      </w:r>
    </w:p>
    <w:p>
      <w:pPr>
        <w:spacing w:after="160" w:before="0"/>
        <w:ind w:left="480"/>
        <w:jc w:val="both"/>
      </w:pPr>
      <w:r>
        <w:rPr>
          <w:rFonts w:ascii="Times New Roman" w:cs="Times New Roman" w:eastAsia="Times New Roman" w:hAnsi="Times New Roman"/>
          <w:i/>
          <w:iCs/>
          <w:color w:val="2E75B6"/>
          <w:sz w:val="22"/>
          <w:szCs w:val="22"/>
        </w:rPr>
        <w:t xml:space="preserve">See Math Book Area E (Definitions E.1–E.2, E.6, E.8, E.10; Theorems E.3–E.5, E.7, E.9, E.11)</w:t>
      </w:r>
    </w:p>
    <w:p>
      <w:pPr>
        <w:pStyle w:val="Heading2"/>
        <w:spacing w:after="160" w:before="280"/>
      </w:pPr>
      <w:r>
        <w:rPr>
          <w:rFonts w:ascii="Times New Roman" w:cs="Times New Roman" w:eastAsia="Times New Roman" w:hAnsi="Times New Roman"/>
          <w:b/>
          <w:bCs/>
          <w:color w:val="1F3864"/>
          <w:sz w:val="24"/>
          <w:szCs w:val="24"/>
        </w:rPr>
        <w:t xml:space="preserve">5.1  Why IMC-PID?</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CL-05 needs a tuning methodology that is conservative, transparent, and operable by non-engineers. Internal Model Control (IMC) PID was selected because it satisfies all three.</w:t>
      </w:r>
    </w:p>
    <w:p>
      <w:pPr>
        <w:spacing w:after="160" w:before="0"/>
        <w:jc w:val="both"/>
      </w:pPr>
      <w:r>
        <w:rPr>
          <w:rFonts w:ascii="Times New Roman" w:cs="Times New Roman" w:eastAsia="Times New Roman" w:hAnsi="Times New Roman"/>
          <w:b/>
          <w:bCs/>
          <w:color w:val="333333"/>
          <w:sz w:val="22"/>
          <w:szCs w:val="22"/>
        </w:rPr>
        <w:t xml:space="preserve">Conservative: </w:t>
      </w:r>
      <w:r>
        <w:rPr>
          <w:rFonts w:ascii="Times New Roman" w:cs="Times New Roman" w:eastAsia="Times New Roman" w:hAnsi="Times New Roman"/>
          <w:color w:val="333333"/>
          <w:sz w:val="22"/>
          <w:szCs w:val="22"/>
        </w:rPr>
        <w:t xml:space="preserve">the λ ≥ θ detuning rule guarantees no overcorrection. For ecological and environmental systems where management interventions are expensive, slow to take effect, and often irreversible, conservative control is essential.</w:t>
      </w:r>
    </w:p>
    <w:p>
      <w:pPr>
        <w:spacing w:after="160" w:before="0"/>
        <w:jc w:val="both"/>
      </w:pPr>
      <w:r>
        <w:rPr>
          <w:rFonts w:ascii="Times New Roman" w:cs="Times New Roman" w:eastAsia="Times New Roman" w:hAnsi="Times New Roman"/>
          <w:b/>
          <w:bCs/>
          <w:color w:val="333333"/>
          <w:sz w:val="22"/>
          <w:szCs w:val="22"/>
        </w:rPr>
        <w:t xml:space="preserve">Transparent: </w:t>
      </w:r>
      <w:r>
        <w:rPr>
          <w:rFonts w:ascii="Times New Roman" w:cs="Times New Roman" w:eastAsia="Times New Roman" w:hAnsi="Times New Roman"/>
          <w:color w:val="333333"/>
          <w:sz w:val="22"/>
          <w:szCs w:val="22"/>
        </w:rPr>
        <w:t xml:space="preserve">all gains are closed-form functions of three measurable parameters (Kₚ, τ, θ) and one tuning knob (λ). No black-box optimisation. A scientist can understand, verify, and explain every parameter.</w:t>
      </w:r>
    </w:p>
    <w:p>
      <w:pPr>
        <w:spacing w:after="160" w:before="0"/>
        <w:jc w:val="both"/>
      </w:pPr>
      <w:r>
        <w:rPr>
          <w:rFonts w:ascii="Times New Roman" w:cs="Times New Roman" w:eastAsia="Times New Roman" w:hAnsi="Times New Roman"/>
          <w:b/>
          <w:bCs/>
          <w:color w:val="333333"/>
          <w:sz w:val="22"/>
          <w:szCs w:val="22"/>
        </w:rPr>
        <w:t xml:space="preserve">Single parameter: </w:t>
      </w:r>
      <w:r>
        <w:rPr>
          <w:rFonts w:ascii="Times New Roman" w:cs="Times New Roman" w:eastAsia="Times New Roman" w:hAnsi="Times New Roman"/>
          <w:color w:val="333333"/>
          <w:sz w:val="22"/>
          <w:szCs w:val="22"/>
        </w:rPr>
        <w:t xml:space="preserve">λ controls the speed-robustness trade-off. Environmental systems typically need large λ (slow, robust response) because model uncertainty is high and dead times are long.</w:t>
      </w:r>
    </w:p>
    <w:p>
      <w:pPr>
        <w:pStyle w:val="Heading2"/>
        <w:spacing w:after="160" w:before="280"/>
      </w:pPr>
      <w:r>
        <w:rPr>
          <w:rFonts w:ascii="Times New Roman" w:cs="Times New Roman" w:eastAsia="Times New Roman" w:hAnsi="Times New Roman"/>
          <w:b/>
          <w:bCs/>
          <w:color w:val="1F3864"/>
          <w:sz w:val="24"/>
          <w:szCs w:val="24"/>
        </w:rPr>
        <w:t xml:space="preserve">5.2  The FOPDT Model in Science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FOPDT model G(s) = Kₚ e⁻ᶽs / (τs + 1) has three parameters that map directly to scientific observables:</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Process Gain Kₚ.  </w:t>
      </w:r>
      <w:r>
        <w:rPr>
          <w:rFonts w:ascii="Times New Roman" w:cs="Times New Roman" w:eastAsia="Times New Roman" w:hAnsi="Times New Roman"/>
          <w:color w:val="333333"/>
          <w:sz w:val="22"/>
          <w:szCs w:val="22"/>
        </w:rPr>
        <w:t xml:space="preserve">How much does the composition change per unit of management intervention? In a lake: Kₚ is the fractional change in nutrient partitioning per unit change in external loading. In a restoration site: Kₚ is the change in species composition per unit planting effort.</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Time Constant τ.  </w:t>
      </w:r>
      <w:r>
        <w:rPr>
          <w:rFonts w:ascii="Times New Roman" w:cs="Times New Roman" w:eastAsia="Times New Roman" w:hAnsi="Times New Roman"/>
          <w:color w:val="333333"/>
          <w:sz w:val="22"/>
          <w:szCs w:val="22"/>
        </w:rPr>
        <w:t xml:space="preserve">How quickly does the system respond? A fast-cycling microbial community may have τ ≈ days. A forest community under succession has τ ≈ decades. Wetland vegetation composition typically has τ ≈ years.</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Dead Time θ.  </w:t>
      </w:r>
      <w:r>
        <w:rPr>
          <w:rFonts w:ascii="Times New Roman" w:cs="Times New Roman" w:eastAsia="Times New Roman" w:hAnsi="Times New Roman"/>
          <w:color w:val="333333"/>
          <w:sz w:val="22"/>
          <w:szCs w:val="22"/>
        </w:rPr>
        <w:t xml:space="preserve">The lag between intervention and first observable response. Nutrient loading reduction may take months to appear in phytoplankton composition (θ ≈ season). Revegetation plantings take years to affect canopy composition (θ ≈ years).</w:t>
      </w:r>
    </w:p>
    <w:p>
      <w:pPr>
        <w:pStyle w:val="Heading2"/>
        <w:spacing w:after="160" w:before="280"/>
      </w:pPr>
      <w:r>
        <w:rPr>
          <w:rFonts w:ascii="Times New Roman" w:cs="Times New Roman" w:eastAsia="Times New Roman" w:hAnsi="Times New Roman"/>
          <w:b/>
          <w:bCs/>
          <w:color w:val="1F3864"/>
          <w:sz w:val="24"/>
          <w:szCs w:val="24"/>
        </w:rPr>
        <w:t xml:space="preserve">5.3  Robustness and the ±20% Envelope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Theorem E.4 establishes that for λ ≥ θ, the controller tolerates ±20% simultaneous mismatch in all three FOPDT parameters. The robustness margin μ(k,r) &gt; 2.25 at the house default (Theorem E.7), meaning stability is maintained even with ±50% model error.</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For natural scientists, where parameter estimation from field data is inherently imprecise, this tolerance margin is critical. If τ is estimated as "5 years" but the true value is 6 years (−20% error), the controller still performs correctly.</w:t>
      </w:r>
    </w:p>
    <w:p>
      <w:pPr>
        <w:spacing w:after="160" w:before="120"/>
        <w:jc w:val="both"/>
      </w:pPr>
      <w:r>
        <w:rPr>
          <w:rFonts w:ascii="Times New Roman" w:cs="Times New Roman" w:eastAsia="Times New Roman" w:hAnsi="Times New Roman"/>
          <w:b/>
          <w:bCs/>
          <w:color w:val="333333"/>
          <w:sz w:val="22"/>
          <w:szCs w:val="22"/>
        </w:rPr>
        <w:t xml:space="preserve">Table 2 — Robustness Margins for Scientific Applications (r ≈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000"/>
        <w:gridCol w:w="2000"/>
        <w:gridCol w:w="2160"/>
      </w:tblGrid>
      <w:tr>
        <w:tc>
          <w:tcPr>
            <w:tcW w:type="dxa" w:w="1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k = λ/θ</w:t>
            </w:r>
          </w:p>
        </w:tc>
        <w:tc>
          <w:tcPr>
            <w:tcW w:type="dxa" w:w="1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λ</w:t>
            </w:r>
          </w:p>
        </w:tc>
        <w:tc>
          <w:tcPr>
            <w:tcW w:type="dxa" w:w="2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μ (r≈2)</w:t>
            </w:r>
          </w:p>
        </w:tc>
        <w:tc>
          <w:tcPr>
            <w:tcW w:type="dxa" w:w="2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Tolerance</w:t>
            </w:r>
          </w:p>
        </w:tc>
        <w:tc>
          <w:tcPr>
            <w:tcW w:type="dxa" w:w="21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Use Case</w:t>
            </w:r>
          </w:p>
        </w:tc>
      </w:tr>
      <w:tr>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1.0</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θ</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2.55</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±51%</w:t>
            </w:r>
          </w:p>
        </w:tc>
        <w:tc>
          <w:tcPr>
            <w:tcW w:type="dxa" w:w="2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Fast-cycling systems</w:t>
            </w:r>
          </w:p>
        </w:tc>
      </w:tr>
      <w:tr>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1.5</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1.5θ</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≈3.0</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±60%</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Seasonal dynamics</w:t>
            </w:r>
          </w:p>
        </w:tc>
      </w:tr>
      <w:tr>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2.0</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2θ</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3.49</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±70%</w:t>
            </w:r>
          </w:p>
        </w:tc>
        <w:tc>
          <w:tcPr>
            <w:tcW w:type="dxa" w:w="2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Long-term monitoring</w:t>
            </w:r>
          </w:p>
        </w:tc>
      </w:tr>
      <w:tr>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3.0</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3θ</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≈4.5</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±78%</w:t>
            </w:r>
          </w:p>
        </w:tc>
        <w:tc>
          <w:tcPr>
            <w:tcW w:type="dxa" w:w="2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Decadal-scale ecology</w:t>
            </w:r>
          </w:p>
        </w:tc>
      </w:tr>
    </w:tbl>
    <w:p>
      <w:pPr>
        <w:pStyle w:val="Heading2"/>
        <w:spacing w:after="160" w:before="280"/>
      </w:pPr>
      <w:r>
        <w:rPr>
          <w:rFonts w:ascii="Times New Roman" w:cs="Times New Roman" w:eastAsia="Times New Roman" w:hAnsi="Times New Roman"/>
          <w:b/>
          <w:bCs/>
          <w:color w:val="1F3864"/>
          <w:sz w:val="24"/>
          <w:szCs w:val="24"/>
        </w:rPr>
        <w:t xml:space="preserve">5.4  Reference Update Protocols</w:t>
      </w:r>
    </w:p>
    <w:p>
      <w:pPr>
        <w:spacing w:after="160" w:before="0"/>
        <w:ind w:left="480"/>
        <w:jc w:val="both"/>
      </w:pPr>
      <w:r>
        <w:rPr>
          <w:rFonts w:ascii="Times New Roman" w:cs="Times New Roman" w:eastAsia="Times New Roman" w:hAnsi="Times New Roman"/>
          <w:i/>
          <w:iCs/>
          <w:color w:val="2E75B6"/>
          <w:sz w:val="22"/>
          <w:szCs w:val="22"/>
        </w:rPr>
        <w:t xml:space="preserve">See Math Book Definition E.8; Theorem E.9</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CL-02 measures drift from a reference state ρ_ref. Three canonical update protocols (Definition E.8): declared baseline (fixed by policy), epoch baseline (resets at each monitoring period), and exponential baseline (EMA tracking with parameter α).</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Ramsar Ecological Character.  </w:t>
      </w:r>
      <w:r>
        <w:rPr>
          <w:rFonts w:ascii="Times New Roman" w:cs="Times New Roman" w:eastAsia="Times New Roman" w:hAnsi="Times New Roman"/>
          <w:color w:val="333333"/>
          <w:sz w:val="22"/>
          <w:szCs w:val="22"/>
        </w:rPr>
        <w:t xml:space="preserve">For Ramsar Convention wetland monitoring, the declared baseline is the ecological character at the time of listing. CL-02 measures total drift from this listing condition. An epoch baseline resetting at each triennial review would mask cumulative degradation. The declared baseline is therefore the correct choice for treaty compliance: it answers "how far has this site departed from its listed condition?"</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Seasonal Phenology.  </w:t>
      </w:r>
      <w:r>
        <w:rPr>
          <w:rFonts w:ascii="Times New Roman" w:cs="Times New Roman" w:eastAsia="Times New Roman" w:hAnsi="Times New Roman"/>
          <w:color w:val="333333"/>
          <w:sz w:val="22"/>
          <w:szCs w:val="22"/>
        </w:rPr>
        <w:t xml:space="preserve">For monitoring seasonal vegetation dynamics, the exponential baseline (α = 0.2) tracks the evolving seasonal pattern while flagging anomalous years. Theorem E.9 warns that the exponential baseline underestimates cumulative drift by (1−α)ᵀ after T observations — use the declared baseline for long-term trend detection.</w:t>
      </w:r>
    </w:p>
    <w:p>
      <w:pPr>
        <w:pStyle w:val="Heading2"/>
        <w:spacing w:after="160" w:before="280"/>
      </w:pPr>
      <w:r>
        <w:rPr>
          <w:rFonts w:ascii="Times New Roman" w:cs="Times New Roman" w:eastAsia="Times New Roman" w:hAnsi="Times New Roman"/>
          <w:b/>
          <w:bCs/>
          <w:color w:val="1F3864"/>
          <w:sz w:val="24"/>
          <w:szCs w:val="24"/>
        </w:rPr>
        <w:t xml:space="preserve">5.5  FOPDT Limitations</w:t>
      </w:r>
    </w:p>
    <w:p>
      <w:pPr>
        <w:spacing w:after="160" w:before="0"/>
        <w:ind w:left="480"/>
        <w:jc w:val="both"/>
      </w:pPr>
      <w:r>
        <w:rPr>
          <w:rFonts w:ascii="Times New Roman" w:cs="Times New Roman" w:eastAsia="Times New Roman" w:hAnsi="Times New Roman"/>
          <w:i/>
          <w:iCs/>
          <w:color w:val="2E75B6"/>
          <w:sz w:val="22"/>
          <w:szCs w:val="22"/>
        </w:rPr>
        <w:t xml:space="preserve">See Math Book Definition E.1</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FOPDT model assumes linearity, a single time constant, fixed dead time, no oscillatory dynamics, step-response excitation, constant parameters, and a lumped system. Seven specific limitations, each with a diagnostic signature:</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Linearity.  </w:t>
      </w:r>
      <w:r>
        <w:rPr>
          <w:rFonts w:ascii="Times New Roman" w:cs="Times New Roman" w:eastAsia="Times New Roman" w:hAnsi="Times New Roman"/>
          <w:color w:val="333333"/>
          <w:sz w:val="22"/>
          <w:szCs w:val="22"/>
        </w:rPr>
        <w:t xml:space="preserve">Ecological responses are typically nonlinear (threshold effects, Allee effects, tipping points). The FOPDT model works within the linear regime near the operating point but fails near regime boundaries.</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Single Time Constant.  </w:t>
      </w:r>
      <w:r>
        <w:rPr>
          <w:rFonts w:ascii="Times New Roman" w:cs="Times New Roman" w:eastAsia="Times New Roman" w:hAnsi="Times New Roman"/>
          <w:color w:val="333333"/>
          <w:sz w:val="22"/>
          <w:szCs w:val="22"/>
        </w:rPr>
        <w:t xml:space="preserve">Many ecological systems have multiple timescales: fast microbial turnover and slow plant succession, or fast nutrient uptake and slow sediment diagenesis.</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Fixed Dead Time.  </w:t>
      </w:r>
      <w:r>
        <w:rPr>
          <w:rFonts w:ascii="Times New Roman" w:cs="Times New Roman" w:eastAsia="Times New Roman" w:hAnsi="Times New Roman"/>
          <w:color w:val="333333"/>
          <w:sz w:val="22"/>
          <w:szCs w:val="22"/>
        </w:rPr>
        <w:t xml:space="preserve">Dead time in ecological systems varies seasonally (nutrient responses faster in growing season) and with system state (degraded systems may respond more slowly).</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When FOPDT fails, the SOPDT extension (Definition E.10, Theorem E.11) provides a two-timescale model with closed-form gains.</w:t>
      </w:r>
    </w:p>
    <w:p>
      <w:pPr>
        <w:pStyle w:val="Heading2"/>
        <w:spacing w:after="160" w:before="280"/>
      </w:pPr>
      <w:r>
        <w:rPr>
          <w:rFonts w:ascii="Times New Roman" w:cs="Times New Roman" w:eastAsia="Times New Roman" w:hAnsi="Times New Roman"/>
          <w:b/>
          <w:bCs/>
          <w:color w:val="1F3864"/>
          <w:sz w:val="24"/>
          <w:szCs w:val="24"/>
        </w:rPr>
        <w:t xml:space="preserve">5.6  The SOPDT Upgrade Path</w:t>
      </w:r>
    </w:p>
    <w:p>
      <w:pPr>
        <w:spacing w:after="160" w:before="0"/>
        <w:ind w:left="480"/>
        <w:jc w:val="both"/>
      </w:pPr>
      <w:r>
        <w:rPr>
          <w:rFonts w:ascii="Times New Roman" w:cs="Times New Roman" w:eastAsia="Times New Roman" w:hAnsi="Times New Roman"/>
          <w:i/>
          <w:iCs/>
          <w:color w:val="2E75B6"/>
          <w:sz w:val="22"/>
          <w:szCs w:val="22"/>
        </w:rPr>
        <w:t xml:space="preserve">See Math Book Definition E.10; Theorem E.11</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SOPDT model adds a second time constant: G(s) = Kₚ e⁻ᶽs / ((τ₁s+1)(τ₂s+1)). IMC-PID gains remain closed-form (Theorem E.11), and FOPDT is recovered when τ₂ → 0.</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Two-Timescale Nutrient Dynamics.  </w:t>
      </w:r>
      <w:r>
        <w:rPr>
          <w:rFonts w:ascii="Times New Roman" w:cs="Times New Roman" w:eastAsia="Times New Roman" w:hAnsi="Times New Roman"/>
          <w:color w:val="333333"/>
          <w:sz w:val="22"/>
          <w:szCs w:val="22"/>
        </w:rPr>
        <w:t xml:space="preserve">A wetland nutrient system with fast phytoplankton uptake (τ₁ ≈ weeks) and slow sediment release (τ₂ ≈ years) produces an SOPDT response to loading changes. The FOPDT model captures the slow component but misses the fast initial response, leading to delayed intervention. SOPDT resolves both timescales, and the derivative term τD provides anticipatory correction.</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Soil Carbon Pools.  </w:t>
      </w:r>
      <w:r>
        <w:rPr>
          <w:rFonts w:ascii="Times New Roman" w:cs="Times New Roman" w:eastAsia="Times New Roman" w:hAnsi="Times New Roman"/>
          <w:color w:val="333333"/>
          <w:sz w:val="22"/>
          <w:szCs w:val="22"/>
        </w:rPr>
        <w:t xml:space="preserve">Soil organic carbon with a labile pool (τ₁ ≈ years) and a refractory pool (τ₂ ≈ centuries) under land-use change. FOPDT captures only the labile pool dynamics. SOPDT resolves the two-pool structure, critical for climate carbon budgets.</w:t>
      </w:r>
    </w:p>
    <w:p>
      <w:r>
        <w:br w:type="page"/>
      </w:r>
    </w:p>
    <w:p>
      <w:pPr>
        <w:pStyle w:val="Heading1"/>
        <w:spacing w:after="200" w:before="360"/>
      </w:pPr>
      <w:r>
        <w:rPr>
          <w:rFonts w:ascii="Times New Roman" w:cs="Times New Roman" w:eastAsia="Times New Roman" w:hAnsi="Times New Roman"/>
          <w:b/>
          <w:bCs/>
          <w:color w:val="1F3864"/>
          <w:sz w:val="28"/>
          <w:szCs w:val="28"/>
        </w:rPr>
        <w:t xml:space="preserve">§6  The Amplification Network</w:t>
      </w:r>
    </w:p>
    <w:p>
      <w:pPr>
        <w:spacing w:after="160" w:before="0"/>
        <w:ind w:left="480"/>
        <w:jc w:val="both"/>
      </w:pPr>
      <w:r>
        <w:rPr>
          <w:rFonts w:ascii="Times New Roman" w:cs="Times New Roman" w:eastAsia="Times New Roman" w:hAnsi="Times New Roman"/>
          <w:i/>
          <w:iCs/>
          <w:color w:val="2E75B6"/>
          <w:sz w:val="22"/>
          <w:szCs w:val="22"/>
        </w:rPr>
        <w:t xml:space="preserve">See Math Book Areas C and F (Theorems C.3–C.7, F.3–F.5)</w:t>
      </w:r>
    </w:p>
    <w:p>
      <w:pPr>
        <w:pStyle w:val="Heading2"/>
        <w:spacing w:after="160" w:before="280"/>
      </w:pPr>
      <w:r>
        <w:rPr>
          <w:rFonts w:ascii="Times New Roman" w:cs="Times New Roman" w:eastAsia="Times New Roman" w:hAnsi="Times New Roman"/>
          <w:b/>
          <w:bCs/>
          <w:color w:val="1F3864"/>
          <w:sz w:val="24"/>
          <w:szCs w:val="24"/>
        </w:rPr>
        <w:t xml:space="preserve">6.1  Supermodularity and Complementarity</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A supermodular function satisfies f(x ∨ y) + f(x ∧ y) ≥ f(x) + f(y) — the value of combining resources exceeds the sum of parts. In ecological terms: complementarity. A diverse community provides more ecosystem function than the sum of monocultures because species partition niches and facilitate each other.</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HUF’s knowledge function is supermodular (Theorem C.7): adding a domain to the monitoring network becomes more valuable when more domains already exist, because theorem transport (F.3) creates cross-links between all pairs.</w:t>
      </w:r>
    </w:p>
    <w:p>
      <w:pPr>
        <w:pStyle w:val="Heading2"/>
        <w:spacing w:after="160" w:before="280"/>
      </w:pPr>
      <w:r>
        <w:rPr>
          <w:rFonts w:ascii="Times New Roman" w:cs="Times New Roman" w:eastAsia="Times New Roman" w:hAnsi="Times New Roman"/>
          <w:b/>
          <w:bCs/>
          <w:color w:val="1F3864"/>
          <w:sz w:val="24"/>
          <w:szCs w:val="24"/>
        </w:rPr>
        <w:t xml:space="preserve">6.2  The Scaling Law</w:t>
      </w:r>
    </w:p>
    <w:p>
      <w:pPr>
        <w:spacing w:after="160" w:before="0"/>
        <w:jc w:val="center"/>
      </w:pPr>
      <w:r>
        <w:rPr>
          <w:rFonts w:ascii="Times New Roman" w:cs="Times New Roman" w:eastAsia="Times New Roman" w:hAnsi="Times New Roman"/>
          <w:b/>
          <w:bCs/>
          <w:i w:val="false"/>
          <w:iCs w:val="false"/>
          <w:color w:val="333333"/>
          <w:sz w:val="22"/>
          <w:szCs w:val="22"/>
        </w:rPr>
        <w:t xml:space="preserve">K_total = Σaᵢ + β · [n(n−1)/2] · ∏aᵢ</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first term is additive; the second is multiplicative via n(n−1)/2 pairwise channels. The product ∏aᵢ means one weak domain collapses the amplification — a monitoring network is only as strong as its weakest component.</w:t>
      </w:r>
    </w:p>
    <w:p>
      <w:pPr>
        <w:pBdr>
          <w:left w:val="single" w:color="00897B" w:sz="12"/>
        </w:pBdr>
        <w:spacing w:after="120" w:before="160"/>
        <w:ind w:left="480" w:right="360"/>
      </w:pPr>
      <w:r>
        <w:rPr>
          <w:rFonts w:ascii="Times New Roman" w:cs="Times New Roman" w:eastAsia="Times New Roman" w:hAnsi="Times New Roman"/>
          <w:b/>
          <w:bCs/>
          <w:color w:val="00695C"/>
          <w:sz w:val="22"/>
          <w:szCs w:val="22"/>
        </w:rPr>
        <w:t xml:space="preserve">Ecological Analogue.  </w:t>
      </w:r>
      <w:r>
        <w:rPr>
          <w:rFonts w:ascii="Times New Roman" w:cs="Times New Roman" w:eastAsia="Times New Roman" w:hAnsi="Times New Roman"/>
          <w:color w:val="333333"/>
          <w:sz w:val="22"/>
          <w:szCs w:val="22"/>
        </w:rPr>
        <w:t xml:space="preserve">The scaling law parallels the biodiversity-ecosystem function relationship: total ecosystem function has additive (species-specific contributions) and non-additive (complementarity/facilitation) components. The multiplicative term captures facilitation, and its collapse when any aᵢ → 0 mirrors keystone species effects.</w:t>
      </w:r>
    </w:p>
    <w:p>
      <w:pPr>
        <w:pStyle w:val="Heading2"/>
        <w:spacing w:after="160" w:before="280"/>
      </w:pPr>
      <w:r>
        <w:rPr>
          <w:rFonts w:ascii="Times New Roman" w:cs="Times New Roman" w:eastAsia="Times New Roman" w:hAnsi="Times New Roman"/>
          <w:b/>
          <w:bCs/>
          <w:color w:val="1F3864"/>
          <w:sz w:val="24"/>
          <w:szCs w:val="24"/>
        </w:rPr>
        <w:t xml:space="preserve">6.3  Theorem Transport</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If two domain instantiations share the same CL structure, then any structural result proved in one domain holds in the other without re-proof (Theorem F.3). Only the interpretation function Φ changes.</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Cross-Domain Transfer.  </w:t>
      </w:r>
      <w:r>
        <w:rPr>
          <w:rFonts w:ascii="Times New Roman" w:cs="Times New Roman" w:eastAsia="Times New Roman" w:hAnsi="Times New Roman"/>
          <w:color w:val="333333"/>
          <w:sz w:val="22"/>
          <w:szCs w:val="22"/>
        </w:rPr>
        <w:t xml:space="preserve">A proof that "Keff &lt; 2.5 implies dominance by two components" in species composition transfers to nutrient partitioning, mineral assemblages, or any compositional dataset. The number, the threshold, and the alarm logic are identical. What changes is the scientific interpretation: two-species dominance in ecology, two-mineral dominance in petrology, two-pool dominance in biogeochemistry.</w:t>
      </w:r>
    </w:p>
    <w:p>
      <w:pPr>
        <w:pStyle w:val="Heading2"/>
        <w:spacing w:after="160" w:before="280"/>
      </w:pPr>
      <w:r>
        <w:rPr>
          <w:rFonts w:ascii="Times New Roman" w:cs="Times New Roman" w:eastAsia="Times New Roman" w:hAnsi="Times New Roman"/>
          <w:b/>
          <w:bCs/>
          <w:color w:val="1F3864"/>
          <w:sz w:val="24"/>
          <w:szCs w:val="24"/>
        </w:rPr>
        <w:t xml:space="preserve">6.4  Self-Training</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self-training criterion (Theorem F.5) states that CL-01 through CL-04 are label-free. A scientist who masters the pipeline in wetland vegetation monitoring can apply it to water chemistry, soil carbon fractions, or disease biomarker panels by learning only the new interpretation Φ. The mathematical operations are identical.</w:t>
      </w:r>
    </w:p>
    <w:p>
      <w:r>
        <w:br w:type="page"/>
      </w:r>
    </w:p>
    <w:p>
      <w:pPr>
        <w:pStyle w:val="Heading1"/>
        <w:spacing w:after="200" w:before="360"/>
      </w:pPr>
      <w:r>
        <w:rPr>
          <w:rFonts w:ascii="Times New Roman" w:cs="Times New Roman" w:eastAsia="Times New Roman" w:hAnsi="Times New Roman"/>
          <w:b/>
          <w:bCs/>
          <w:color w:val="1F3864"/>
          <w:sz w:val="28"/>
          <w:szCs w:val="28"/>
        </w:rPr>
        <w:t xml:space="preserve">§7  Synthesis: From Theory to Validation</w:t>
      </w:r>
    </w:p>
    <w:p>
      <w:pPr>
        <w:pStyle w:val="Heading2"/>
        <w:spacing w:after="160" w:before="280"/>
      </w:pPr>
      <w:r>
        <w:rPr>
          <w:rFonts w:ascii="Times New Roman" w:cs="Times New Roman" w:eastAsia="Times New Roman" w:hAnsi="Times New Roman"/>
          <w:b/>
          <w:bCs/>
          <w:color w:val="1F3864"/>
          <w:sz w:val="24"/>
          <w:szCs w:val="24"/>
        </w:rPr>
        <w:t xml:space="preserve">7.1  What Has Been Established</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six preceding chapters establish a complete architecture for compositional monitoring. The carrier (ρ) is a normalised composition vector on the simplex. The observable (Keff) is the effective number of components (equivalent to effective species number in ecology). The metric (TV) is the total variation distance. The pipeline (CL-01–CL-05) is a closed-loop feedback system. The calibration (IMC-PID) has closed-form gains with quantified robustness margins. The amplification network predicts super-linear scaling across domains.</w:t>
      </w:r>
    </w:p>
    <w:p>
      <w:pPr>
        <w:pStyle w:val="Heading2"/>
        <w:spacing w:after="160" w:before="280"/>
      </w:pPr>
      <w:r>
        <w:rPr>
          <w:rFonts w:ascii="Times New Roman" w:cs="Times New Roman" w:eastAsia="Times New Roman" w:hAnsi="Times New Roman"/>
          <w:b/>
          <w:bCs/>
          <w:color w:val="1F3864"/>
          <w:sz w:val="24"/>
          <w:szCs w:val="24"/>
        </w:rPr>
        <w:t xml:space="preserve">7.2  What Has Not Been Established</w:t>
      </w:r>
    </w:p>
    <w:p>
      <w:pPr>
        <w:spacing w:after="160" w:before="0"/>
        <w:jc w:val="both"/>
      </w:pPr>
      <w:r>
        <w:rPr>
          <w:rFonts w:ascii="Times New Roman" w:cs="Times New Roman" w:eastAsia="Times New Roman" w:hAnsi="Times New Roman"/>
          <w:b/>
          <w:bCs/>
          <w:color w:val="333333"/>
          <w:sz w:val="22"/>
          <w:szCs w:val="22"/>
        </w:rPr>
        <w:t xml:space="preserve">The hard gate: </w:t>
      </w:r>
      <w:r>
        <w:rPr>
          <w:rFonts w:ascii="Times New Roman" w:cs="Times New Roman" w:eastAsia="Times New Roman" w:hAnsi="Times New Roman"/>
          <w:color w:val="333333"/>
          <w:sz w:val="22"/>
          <w:szCs w:val="22"/>
        </w:rPr>
        <w:t xml:space="preserve">No real-data Keff validation has been performed on any actual ratio portfolio. The Ramsar wetland pilot domain is the leading candidate, but field data has not yet been processed through the CL pipeline. Until this gate is passed, CL-03 carries ADD* status and CL-05 remains STORE.</w:t>
      </w:r>
    </w:p>
    <w:p>
      <w:pPr>
        <w:spacing w:after="160" w:before="0"/>
        <w:jc w:val="both"/>
      </w:pPr>
      <w:r>
        <w:rPr>
          <w:rFonts w:ascii="Times New Roman" w:cs="Times New Roman" w:eastAsia="Times New Roman" w:hAnsi="Times New Roman"/>
          <w:b/>
          <w:bCs/>
          <w:color w:val="333333"/>
          <w:sz w:val="22"/>
          <w:szCs w:val="22"/>
        </w:rPr>
        <w:t xml:space="preserve">The scaling law: </w:t>
      </w:r>
      <w:r>
        <w:rPr>
          <w:rFonts w:ascii="Times New Roman" w:cs="Times New Roman" w:eastAsia="Times New Roman" w:hAnsi="Times New Roman"/>
          <w:color w:val="333333"/>
          <w:sz w:val="22"/>
          <w:szCs w:val="22"/>
        </w:rPr>
        <w:t xml:space="preserve">Theorem F.4 is [CONJECTURE]. The coupling parameter β has not been measured empirically.</w:t>
      </w:r>
    </w:p>
    <w:p>
      <w:pPr>
        <w:pStyle w:val="Heading2"/>
        <w:spacing w:after="160" w:before="280"/>
      </w:pPr>
      <w:r>
        <w:rPr>
          <w:rFonts w:ascii="Times New Roman" w:cs="Times New Roman" w:eastAsia="Times New Roman" w:hAnsi="Times New Roman"/>
          <w:b/>
          <w:bCs/>
          <w:color w:val="1F3864"/>
          <w:sz w:val="24"/>
          <w:szCs w:val="24"/>
        </w:rPr>
        <w:t xml:space="preserve">7.3  The Path Forward</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simplest validation path: take a well-characterised ecological dataset with known compositional change (e.g., a Ramsar site with documented vegetation monitoring over multiple triennial reviews), compute the Keff time series, and process it through CL-01–CL-04. If the verdict timeline correlates with known ecological events (invasive species arrivals, hydrological modifications, management interventions), the hard gate is passed.</w:t>
      </w:r>
    </w:p>
    <w:p>
      <w:pPr>
        <w:pBdr>
          <w:left w:val="single" w:color="2E7D32" w:sz="12"/>
        </w:pBdr>
        <w:spacing w:after="120" w:before="120"/>
        <w:ind w:left="480" w:right="360"/>
      </w:pPr>
      <w:r>
        <w:rPr>
          <w:rFonts w:ascii="Times New Roman" w:cs="Times New Roman" w:eastAsia="Times New Roman" w:hAnsi="Times New Roman"/>
          <w:b/>
          <w:bCs/>
          <w:color w:val="1B5E20"/>
          <w:sz w:val="22"/>
          <w:szCs w:val="22"/>
        </w:rPr>
        <w:t xml:space="preserve">Validation Design.  </w:t>
      </w:r>
      <w:r>
        <w:rPr>
          <w:rFonts w:ascii="Times New Roman" w:cs="Times New Roman" w:eastAsia="Times New Roman" w:hAnsi="Times New Roman"/>
          <w:color w:val="333333"/>
          <w:sz w:val="22"/>
          <w:szCs w:val="22"/>
        </w:rPr>
        <w:t xml:space="preserve">Candidate: A Ramsar wetland with ≥10 years of vegetation quadrat data, documented management history, and known disturbance events. The validation protocol: (1) compute ρ(t) from species cover data, (2) compute Keff(t) time series, (3) run CL-01–CL-04 with declared baseline at listing, (4) compare verdict timeline against documented events. Positive: verdicts align with known changes. Negative: false alarms or missed events.</w:t>
      </w:r>
    </w:p>
    <w:p>
      <w:r>
        <w:br w:type="page"/>
      </w:r>
    </w:p>
    <w:p>
      <w:pPr>
        <w:pStyle w:val="Heading1"/>
        <w:spacing w:after="200" w:before="360"/>
      </w:pPr>
      <w:r>
        <w:rPr>
          <w:rFonts w:ascii="Times New Roman" w:cs="Times New Roman" w:eastAsia="Times New Roman" w:hAnsi="Times New Roman"/>
          <w:b/>
          <w:bCs/>
          <w:color w:val="1F3864"/>
          <w:sz w:val="28"/>
          <w:szCs w:val="28"/>
        </w:rPr>
        <w:t xml:space="preserve">Cross-Reference Table</w:t>
      </w:r>
    </w:p>
    <w:p>
      <w:pPr>
        <w:spacing w:after="160" w:before="0"/>
        <w:jc w:val="both"/>
      </w:pPr>
      <w:r>
        <w:rPr>
          <w:rFonts w:ascii="Times New Roman" w:cs="Times New Roman" w:eastAsia="Times New Roman" w:hAnsi="Times New Roman"/>
          <w:b w:val="false"/>
          <w:bCs w:val="false"/>
          <w:i/>
          <w:iCs/>
          <w:color w:val="333333"/>
          <w:sz w:val="22"/>
          <w:szCs w:val="22"/>
        </w:rPr>
        <w:t xml:space="preserve">The table below maps each Context Book chapter to the corresponding Math Book area and key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00"/>
        <w:gridCol w:w="2360"/>
      </w:tblGrid>
      <w:tr>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Chapter</w:t>
            </w:r>
          </w:p>
        </w:tc>
        <w:tc>
          <w:tcPr>
            <w:tcW w:type="dxa" w:w="3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Title</w:t>
            </w:r>
          </w:p>
        </w:tc>
        <w:tc>
          <w:tcPr>
            <w:tcW w:type="dxa" w:w="2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Math Book Area</w:t>
            </w:r>
          </w:p>
        </w:tc>
        <w:tc>
          <w:tcPr>
            <w:tcW w:type="dxa" w:w="23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Key Results</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§1</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The Ratio-State Carrier</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Area A</w:t>
            </w:r>
          </w:p>
        </w:tc>
        <w:tc>
          <w:tcPr>
            <w:tcW w:type="dxa" w:w="2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A.1–A.7</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§2</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Effective Complexity</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Area B</w:t>
            </w:r>
          </w:p>
        </w:tc>
        <w:tc>
          <w:tcPr>
            <w:tcW w:type="dxa" w:w="2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B.1–B.6</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§3</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The Control Pipeline</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Area D</w:t>
            </w:r>
          </w:p>
        </w:tc>
        <w:tc>
          <w:tcPr>
            <w:tcW w:type="dxa" w:w="2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D.1–D.3</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§4</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Failure Modes + Hysteresis</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Area D</w:t>
            </w:r>
          </w:p>
        </w:tc>
        <w:tc>
          <w:tcPr>
            <w:tcW w:type="dxa" w:w="2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D.4–D.6</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§5</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Calibration + FOPDT Limits + SOPDT</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Area E</w:t>
            </w:r>
          </w:p>
        </w:tc>
        <w:tc>
          <w:tcPr>
            <w:tcW w:type="dxa" w:w="2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E.1–E.11</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§6</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Amplification Network</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Areas C + F</w:t>
            </w:r>
          </w:p>
        </w:tc>
        <w:tc>
          <w:tcPr>
            <w:tcW w:type="dxa" w:w="2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C.1–C.7, F.1–F.5</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§7</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Synthesis</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All</w:t>
            </w:r>
          </w:p>
        </w:tc>
        <w:tc>
          <w:tcPr>
            <w:tcW w:type="dxa" w:w="2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color w:val="333333"/>
                <w:sz w:val="20"/>
                <w:szCs w:val="20"/>
              </w:rPr>
              <w:t xml:space="preserve">All</w:t>
            </w:r>
          </w:p>
        </w:tc>
      </w:tr>
    </w:tbl>
    <w:p>
      <w:pPr>
        <w:spacing w:after="160" w:before="120"/>
        <w:jc w:val="both"/>
      </w:pPr>
      <w:r>
        <w:rPr>
          <w:rFonts w:ascii="Times New Roman" w:cs="Times New Roman" w:eastAsia="Times New Roman" w:hAnsi="Times New Roman"/>
          <w:b w:val="false"/>
          <w:bCs w:val="false"/>
          <w:i/>
          <w:iCs/>
          <w:color w:val="333333"/>
          <w:sz w:val="22"/>
          <w:szCs w:val="22"/>
        </w:rPr>
        <w:t xml:space="preserve">7 chapters mapping to 6 Math Book areas. The two books together provide the complete Sciences Edition of the Higgins Unity Framework.</w:t>
      </w:r>
    </w:p>
    <w:p>
      <w:r>
        <w:br w:type="page"/>
      </w:r>
    </w:p>
    <w:p>
      <w:pPr>
        <w:pBdr>
          <w:top w:val="single" w:color="2E75B6" w:sz="4" w:space="1"/>
        </w:pBdr>
        <w:spacing w:after="0" w:before="0"/>
      </w:pPr>
    </w:p>
    <w:p>
      <w:pPr>
        <w:spacing w:after="160" w:before="0"/>
        <w:jc w:val="both"/>
      </w:pPr>
      <w:r>
        <w:rPr>
          <w:rFonts w:ascii="Times New Roman" w:cs="Times New Roman" w:eastAsia="Times New Roman" w:hAnsi="Times New Roman"/>
          <w:b w:val="false"/>
          <w:bCs w:val="false"/>
          <w:i/>
          <w:iCs/>
          <w:color w:val="666666"/>
          <w:sz w:val="22"/>
          <w:szCs w:val="22"/>
        </w:rPr>
        <w:t xml:space="preserve">Framework originator and operator directive: Peter Higgins</w:t>
      </w:r>
    </w:p>
    <w:p>
      <w:pPr>
        <w:spacing w:after="160" w:before="0"/>
        <w:jc w:val="both"/>
      </w:pPr>
      <w:r>
        <w:rPr>
          <w:rFonts w:ascii="Times New Roman" w:cs="Times New Roman" w:eastAsia="Times New Roman" w:hAnsi="Times New Roman"/>
          <w:b w:val="false"/>
          <w:bCs w:val="false"/>
          <w:i/>
          <w:iCs/>
          <w:color w:val="666666"/>
          <w:sz w:val="22"/>
          <w:szCs w:val="22"/>
        </w:rPr>
        <w:t xml:space="preserve">Narrative and document production: Claude (Anthropic)</w:t>
      </w:r>
    </w:p>
    <w:p>
      <w:pPr>
        <w:spacing w:after="160" w:before="0"/>
        <w:jc w:val="both"/>
      </w:pPr>
      <w:r>
        <w:rPr>
          <w:rFonts w:ascii="Times New Roman" w:cs="Times New Roman" w:eastAsia="Times New Roman" w:hAnsi="Times New Roman"/>
          <w:b w:val="false"/>
          <w:bCs w:val="false"/>
          <w:i/>
          <w:iCs/>
          <w:color w:val="666666"/>
          <w:sz w:val="22"/>
          <w:szCs w:val="22"/>
        </w:rPr>
        <w:t xml:space="preserve">Collective review contributions: ChatGPT (OpenAI), Grok (xAI), Gemini (Google), Copilot (Microsoft)</w:t>
      </w:r>
    </w:p>
    <w:p>
      <w:pPr>
        <w:spacing w:after="160" w:before="0"/>
        <w:jc w:val="both"/>
      </w:pPr>
      <w:r>
        <w:rPr>
          <w:rFonts w:ascii="Times New Roman" w:cs="Times New Roman" w:eastAsia="Times New Roman" w:hAnsi="Times New Roman"/>
          <w:b/>
          <w:bCs/>
          <w:i/>
          <w:iCs/>
          <w:color w:val="666666"/>
          <w:sz w:val="22"/>
          <w:szCs w:val="22"/>
        </w:rPr>
        <w:t xml:space="preserve">Evidentiary note: </w:t>
      </w:r>
      <w:r>
        <w:rPr>
          <w:rFonts w:ascii="Times New Roman" w:cs="Times New Roman" w:eastAsia="Times New Roman" w:hAnsi="Times New Roman"/>
          <w:i/>
          <w:iCs/>
          <w:color w:val="666666"/>
          <w:sz w:val="22"/>
          <w:szCs w:val="22"/>
        </w:rPr>
        <w:t xml:space="preserve">This edition is derived from the Mathematician’s Edition (HUF-CONTEXT-01) via controlled subtraction. The same 27 formal results are referenced. Evidentiary tiers are unchanged: CL-03 is ADD* (simulation-supported, real-data gate outstanding). CL-05 is STORE (operator constraint). F.4 is [CONJECTURE]. All domain examples in this edition are illustrative; none constitute empirical validation. The Ramsar wetland pilot domain is the leading candidate for field validation.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999999"/>
        <w:sz w:val="16"/>
        <w:szCs w:val="16"/>
      </w:rPr>
      <w:t xml:space="preserve">Page </w:t>
    </w:r>
    <w:r>
      <w:rPr>
        <w:rFonts w:ascii="Times New Roman" w:cs="Times New Roman" w:eastAsia="Times New Roman" w:hAnsi="Times New Roman"/>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spacing w:after="0"/>
    </w:pPr>
    <w:r>
      <w:rPr>
        <w:rFonts w:ascii="Times New Roman" w:cs="Times New Roman" w:eastAsia="Times New Roman" w:hAnsi="Times New Roman"/>
        <w:color w:val="999999"/>
        <w:sz w:val="16"/>
        <w:szCs w:val="16"/>
      </w:rPr>
      <w:t xml:space="preserve">HUF Advanced Theory and Concepts — Sciences Edition</w:t>
    </w:r>
    <w:r>
      <w:rPr>
        <w:rFonts w:ascii="Times New Roman" w:cs="Times New Roman" w:eastAsia="Times New Roman" w:hAnsi="Times New Roman"/>
        <w:color w:val="999999"/>
        <w:sz w:val="16"/>
        <w:szCs w:val="16"/>
      </w:rPr>
      <w:t xml:space="preserve">	HUF-CONTEXT-03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60" w:before="280"/>
      <w:outlineLvl w:val="1"/>
    </w:pPr>
    <w:rPr>
      <w:rFonts w:ascii="Times New Roman" w:cs="Times New Roman" w:eastAsia="Times New Roman" w:hAnsi="Times New Roman"/>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2026-03-17T06:01:15.673Z</dcterms:created>
  <dcterms:modified xsi:type="dcterms:W3CDTF">2026-03-17T06:01:15.673Z</dcterms:modified>
</cp:coreProperties>
</file>

<file path=docProps/custom.xml><?xml version="1.0" encoding="utf-8"?>
<Properties xmlns="http://schemas.openxmlformats.org/officeDocument/2006/custom-properties" xmlns:vt="http://schemas.openxmlformats.org/officeDocument/2006/docPropsVTypes"/>
</file>