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pacing w:val="120"/>
          <w:sz w:val="20"/>
          <w:szCs w:val="20"/>
        </w:rPr>
        <w:t xml:space="preserve">HIGGINS UNITY FRAMEWORK</w:t>
      </w:r>
    </w:p>
    <w:p>
      <w:pPr>
        <w:pBdr>
          <w:bottom w:val="single" w:color="2E75B6" w:sz="6" w:space="1"/>
        </w:pBdr>
        <w:spacing w:after="0" w:before="0"/>
        <w:jc w:val="center"/>
      </w:pPr>
      <w:r>
        <w:rPr>
          <w:rFonts w:ascii="Times New Roman" w:cs="Times New Roman" w:eastAsia="Times New Roman" w:hAnsi="Times New Roman"/>
          <w:b/>
          <w:bCs/>
          <w:color w:val="1F3864"/>
          <w:sz w:val="36"/>
          <w:szCs w:val="36"/>
        </w:rPr>
        <w:t xml:space="preserve">Advanced Mathematics Reference</w:t>
      </w:r>
    </w:p>
    <w:p>
      <w:pPr>
        <w:spacing w:after="60" w:before="120"/>
        <w:jc w:val="center"/>
      </w:pPr>
      <w:r>
        <w:rPr>
          <w:rFonts w:ascii="Times New Roman" w:cs="Times New Roman" w:eastAsia="Times New Roman" w:hAnsi="Times New Roman"/>
          <w:i/>
          <w:iCs/>
          <w:color w:val="333333"/>
          <w:sz w:val="24"/>
          <w:szCs w:val="24"/>
        </w:rPr>
        <w:t xml:space="preserve">Sciences Edition — The Math Book</w:t>
      </w:r>
    </w:p>
    <w:p>
      <w:pPr>
        <w:spacing w:after="60" w:before="0"/>
        <w:jc w:val="center"/>
      </w:pPr>
      <w:r>
        <w:rPr>
          <w:rFonts w:ascii="Times New Roman" w:cs="Times New Roman" w:eastAsia="Times New Roman" w:hAnsi="Times New Roman"/>
          <w:i/>
          <w:iCs/>
          <w:color w:val="2E75B6"/>
          <w:sz w:val="20"/>
          <w:szCs w:val="20"/>
        </w:rPr>
        <w:t xml:space="preserve">Paired with: HUF Advanced Theory and Concepts — Sciences Edition (The Context Book)</w:t>
      </w:r>
    </w:p>
    <w:p>
      <w:pPr>
        <w:spacing w:after="0" w:before="60"/>
        <w:jc w:val="center"/>
      </w:pPr>
      <w:r>
        <w:rPr>
          <w:rFonts w:ascii="Times New Roman" w:cs="Times New Roman" w:eastAsia="Times New Roman" w:hAnsi="Times New Roman"/>
          <w:color w:val="666666"/>
          <w:sz w:val="18"/>
          <w:szCs w:val="18"/>
        </w:rPr>
        <w:t xml:space="preserve">Corpus Reference: HUF-MATH-03  •  Date: 17 March 2026</w:t>
      </w:r>
    </w:p>
    <w:p>
      <w:pPr>
        <w:spacing w:after="300" w:before="60"/>
        <w:jc w:val="center"/>
      </w:pPr>
      <w:r>
        <w:rPr>
          <w:rFonts w:ascii="Times New Roman" w:cs="Times New Roman" w:eastAsia="Times New Roman" w:hAnsi="Times New Roman"/>
          <w:color w:val="666666"/>
          <w:sz w:val="18"/>
          <w:szCs w:val="18"/>
        </w:rPr>
        <w:t xml:space="preserve">Framework Originator: Peter Higgins  •  Formalisation: Claude (Anthropic)</w:t>
      </w:r>
    </w:p>
    <w:p>
      <w:pPr>
        <w:pStyle w:val="Heading1"/>
        <w:spacing w:after="200" w:before="360"/>
      </w:pPr>
      <w:r>
        <w:rPr>
          <w:rFonts w:ascii="Times New Roman" w:cs="Times New Roman" w:eastAsia="Times New Roman" w:hAnsi="Times New Roman"/>
          <w:b/>
          <w:bCs/>
          <w:color w:val="1F3864"/>
          <w:sz w:val="28"/>
          <w:szCs w:val="28"/>
        </w:rPr>
        <w:t xml:space="preserve">Preface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book contains the complete formal mathematics of the Higgins Unity Framework, presented for natural scientists — biologists, chemists, earth scientists, and environmental researchers. Every definition, theorem, and proof is identical to the Mathematician’s Edition (HUF-MATH-01). What differs is the cross-referencing: all "See Context Book" pointers reference the Sciences Edition Context Book (HUF-CONTEXT-03), which provides scientific interpretation and field examples.</w:t>
      </w:r>
    </w:p>
    <w:p>
      <w:pPr>
        <w:spacing w:after="160" w:before="0"/>
        <w:jc w:val="both"/>
      </w:pPr>
      <w:r>
        <w:rPr>
          <w:rFonts w:ascii="Times New Roman" w:cs="Times New Roman" w:eastAsia="Times New Roman" w:hAnsi="Times New Roman"/>
          <w:b/>
          <w:bCs/>
          <w:color w:val="333333"/>
          <w:sz w:val="22"/>
          <w:szCs w:val="22"/>
        </w:rPr>
        <w:t xml:space="preserve">For the scientist: </w:t>
      </w:r>
      <w:r>
        <w:rPr>
          <w:rFonts w:ascii="Times New Roman" w:cs="Times New Roman" w:eastAsia="Times New Roman" w:hAnsi="Times New Roman"/>
          <w:color w:val="333333"/>
          <w:sz w:val="22"/>
          <w:szCs w:val="22"/>
        </w:rPr>
        <w:t xml:space="preserve">The mathematics uses tools that may be less familiar than to a physicist or mathematician: simplices (convex geometry), Shannon entropy (information theory), total variation (statistical distance), IMC-PID (control theory), and supermodularity (lattice theory). The Context Book provides worked scientific examples for each concept. Where proofs require only elementary probability and calculus, they are presented concisely. Where they require specialised tools, the Context Book provides the interpretive bridge.</w:t>
      </w:r>
    </w:p>
    <w:p>
      <w:pPr>
        <w:spacing w:after="160" w:before="0"/>
        <w:jc w:val="both"/>
      </w:pPr>
      <w:r>
        <w:rPr>
          <w:rFonts w:ascii="Times New Roman" w:cs="Times New Roman" w:eastAsia="Times New Roman" w:hAnsi="Times New Roman"/>
          <w:b/>
          <w:bCs/>
          <w:color w:val="333333"/>
          <w:sz w:val="22"/>
          <w:szCs w:val="22"/>
        </w:rPr>
        <w:t xml:space="preserve">Notation: </w:t>
      </w:r>
      <w:r>
        <w:rPr>
          <w:rFonts w:ascii="Times New Roman" w:cs="Times New Roman" w:eastAsia="Times New Roman" w:hAnsi="Times New Roman"/>
          <w:color w:val="333333"/>
          <w:sz w:val="22"/>
          <w:szCs w:val="22"/>
        </w:rPr>
        <w:t xml:space="preserve">Δⁿ⁻¹ = probability simplex. ρ = ratio-state vector (carrier). Keff = effective complexity (observable). TV = Total Variation distance. CL-01–CL-05 = control loop stages.</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A — Simplex Geometry and Constraints</w:t>
      </w:r>
    </w:p>
    <w:p>
      <w:pPr>
        <w:spacing w:after="160" w:before="0"/>
        <w:ind w:left="480"/>
        <w:jc w:val="both"/>
      </w:pPr>
      <w:r>
        <w:rPr>
          <w:rFonts w:ascii="Times New Roman" w:cs="Times New Roman" w:eastAsia="Times New Roman" w:hAnsi="Times New Roman"/>
          <w:i/>
          <w:iCs/>
          <w:color w:val="2E75B6"/>
          <w:sz w:val="22"/>
          <w:szCs w:val="22"/>
        </w:rPr>
        <w:t xml:space="preserve">See Context Book §1 (The Ratio-State Carrier)</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A.1 (Probability Simplex).  </w:t>
      </w:r>
      <w:r>
        <w:rPr>
          <w:rFonts w:ascii="Times New Roman" w:cs="Times New Roman" w:eastAsia="Times New Roman" w:hAnsi="Times New Roman"/>
          <w:color w:val="333333"/>
          <w:sz w:val="22"/>
          <w:szCs w:val="22"/>
        </w:rPr>
        <w:t xml:space="preserve">The (n−1)-dimensional probability simplex is Δⁿ⁻¹ = { ρ ∈ ℝⁿ : ρᵢ ≥ 0, Σᵢρᵢ = 1 }. Compact, convex, dimension n−1.</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A.2 (Ratio-State Vector).  </w:t>
      </w:r>
      <w:r>
        <w:rPr>
          <w:rFonts w:ascii="Times New Roman" w:cs="Times New Roman" w:eastAsia="Times New Roman" w:hAnsi="Times New Roman"/>
          <w:color w:val="333333"/>
          <w:sz w:val="22"/>
          <w:szCs w:val="22"/>
        </w:rPr>
        <w:t xml:space="preserve">ρ ∈ Δⁿ⁻¹ is the HUF carrier: the proportional allocation across n components.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A.3 (Unity Invariance → CL-01).  </w:t>
      </w:r>
      <w:r>
        <w:rPr>
          <w:rFonts w:ascii="Times New Roman" w:cs="Times New Roman" w:eastAsia="Times New Roman" w:hAnsi="Times New Roman"/>
          <w:color w:val="333333"/>
          <w:sz w:val="22"/>
          <w:szCs w:val="22"/>
        </w:rPr>
        <w:t xml:space="preserve">Any admissible transformation T: Δⁿ⁻¹ → Δⁿ⁻¹ satisfies Σᵢ T(ρ)ᵢ = 1. CL-01 enforces this by rejecting ρ ∉ Δ.</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T maps into the simplex, so T(ρ) ∈ Δⁿ⁻¹, and Σ T(ρ)ᵢ = 1 by definition.</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A.4 (Zero-Sum Tangent Space → CL-05).  </w:t>
      </w:r>
      <w:r>
        <w:rPr>
          <w:rFonts w:ascii="Times New Roman" w:cs="Times New Roman" w:eastAsia="Times New Roman" w:hAnsi="Times New Roman"/>
          <w:color w:val="333333"/>
          <w:sz w:val="22"/>
          <w:szCs w:val="22"/>
        </w:rPr>
        <w:t xml:space="preserve">TₚΔ = { v ∈ ℝⁿ : Σᵢvᵢ = 0 }. Corrections preserving simplex membership must be zero-sum.</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Differentiating Σρᵢ = 1: Σ dρᵢ = 0. For finite u: Σ(ρᵢ + uᵢ) = 1 ⇒ Σuᵢ = 0.</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A.5 (Total Variation Distance).  </w:t>
      </w:r>
      <w:r>
        <w:rPr>
          <w:rFonts w:ascii="Times New Roman" w:cs="Times New Roman" w:eastAsia="Times New Roman" w:hAnsi="Times New Roman"/>
          <w:color w:val="333333"/>
          <w:sz w:val="22"/>
          <w:szCs w:val="22"/>
        </w:rPr>
        <w:t xml:space="preserve">TV(ρ, ρ′) = ½ Σᵢ |ρᵢ − ρᵢ′|. House default metric for CL-02. Equivalent to statistical variational distance.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A.6 (TV Metric Properties).  </w:t>
      </w:r>
      <w:r>
        <w:rPr>
          <w:rFonts w:ascii="Times New Roman" w:cs="Times New Roman" w:eastAsia="Times New Roman" w:hAnsi="Times New Roman"/>
          <w:color w:val="333333"/>
          <w:sz w:val="22"/>
          <w:szCs w:val="22"/>
        </w:rPr>
        <w:t xml:space="preserve">TV is a metric on Δⁿ⁻¹: (i) non-negative, zero iff equal; (ii) symmetric; (iii) triangle inequality. TV ∈ [0, 1].</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Standard L¹ metric properties. Boundedness: TV ≤ ½(Σρᵢ + Σρᵢ′) = 1.</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A.7 (Scale Invariance of TV on the Simplex).  </w:t>
      </w:r>
      <w:r>
        <w:rPr>
          <w:rFonts w:ascii="Times New Roman" w:cs="Times New Roman" w:eastAsia="Times New Roman" w:hAnsi="Times New Roman"/>
          <w:color w:val="333333"/>
          <w:sz w:val="22"/>
          <w:szCs w:val="22"/>
        </w:rPr>
        <w:t xml:space="preserve">TV depends only on ρ, not on absolute scale. If x → αx for α &gt; 0, then ρᵢ = xᵢ/Σxⱼ is unchanged.</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ρᵢ′ = αxᵢ/(αΣxⱼ) = xᵢ/Σxⱼ = ρᵢ. TV is intensive, not extensive.</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B — Entropy Measures and Effective Complexity</w:t>
      </w:r>
    </w:p>
    <w:p>
      <w:pPr>
        <w:spacing w:after="160" w:before="0"/>
        <w:ind w:left="480"/>
        <w:jc w:val="both"/>
      </w:pPr>
      <w:r>
        <w:rPr>
          <w:rFonts w:ascii="Times New Roman" w:cs="Times New Roman" w:eastAsia="Times New Roman" w:hAnsi="Times New Roman"/>
          <w:i/>
          <w:iCs/>
          <w:color w:val="2E75B6"/>
          <w:sz w:val="22"/>
          <w:szCs w:val="22"/>
        </w:rPr>
        <w:t xml:space="preserve">See Context Book §2 (Effective Complexity as Observable)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B.1 (Shannon Entropy).  </w:t>
      </w:r>
      <w:r>
        <w:rPr>
          <w:rFonts w:ascii="Times New Roman" w:cs="Times New Roman" w:eastAsia="Times New Roman" w:hAnsi="Times New Roman"/>
          <w:color w:val="333333"/>
          <w:sz w:val="22"/>
          <w:szCs w:val="22"/>
        </w:rPr>
        <w:t xml:space="preserve">H(ρ) = −Σᵢ ρᵢ ln ρᵢ, with 0 ln 0 = 0. H: Δⁿ⁻¹ → [0, ln n].</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B.2 (Keff — Shannon, House Default).  </w:t>
      </w:r>
      <w:r>
        <w:rPr>
          <w:rFonts w:ascii="Times New Roman" w:cs="Times New Roman" w:eastAsia="Times New Roman" w:hAnsi="Times New Roman"/>
          <w:color w:val="333333"/>
          <w:sz w:val="22"/>
          <w:szCs w:val="22"/>
        </w:rPr>
        <w:t xml:space="preserve">Keff(S)(ρ) = exp(H(ρ)) = effective number of equally-weighted components. Keff(S): Δ → [1, n].</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B.3 (Keff — Herfindahl, Conservative).  </w:t>
      </w:r>
      <w:r>
        <w:rPr>
          <w:rFonts w:ascii="Times New Roman" w:cs="Times New Roman" w:eastAsia="Times New Roman" w:hAnsi="Times New Roman"/>
          <w:color w:val="333333"/>
          <w:sz w:val="22"/>
          <w:szCs w:val="22"/>
        </w:rPr>
        <w:t xml:space="preserve">Keff(H)(ρ) = 1/Σρᵢ² = inverse Simpson index. Keff(H): Δ → [1, n].</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B.4 (Ordering: Keff(H) ≤ Keff(S)).  </w:t>
      </w:r>
      <w:r>
        <w:rPr>
          <w:rFonts w:ascii="Times New Roman" w:cs="Times New Roman" w:eastAsia="Times New Roman" w:hAnsi="Times New Roman"/>
          <w:color w:val="333333"/>
          <w:sz w:val="22"/>
          <w:szCs w:val="22"/>
        </w:rPr>
        <w:t xml:space="preserve">For all ρ ∈ Δ, Keff(H) ≤ Keff(S), with equality iff ρ is uniform or concentrated on one component.</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Rényi entropy ordering: H₁ ≥ H₂, so exp(H₁) ≥ exp(H₂).</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B.5 (Strict Concavity → Unique Maximum).  </w:t>
      </w:r>
      <w:r>
        <w:rPr>
          <w:rFonts w:ascii="Times New Roman" w:cs="Times New Roman" w:eastAsia="Times New Roman" w:hAnsi="Times New Roman"/>
          <w:color w:val="333333"/>
          <w:sz w:val="22"/>
          <w:szCs w:val="22"/>
        </w:rPr>
        <w:t xml:space="preserve">H(ρ) is strictly concave on Δ. Keff(S) attains its unique maximum at ρᵢ = 1/n, where Keff = n.</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Hessian restricted to tangent space: ∂²H/∂ρᵢ² = −1/ρᵢ &lt; 0, off-diagonal zero. Negative definite on TₚΔ. Lagrange multiplier gives ρᵢ = 1/n.</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B.6 (Keff as Demodulated Observable).  </w:t>
      </w:r>
      <w:r>
        <w:rPr>
          <w:rFonts w:ascii="Times New Roman" w:cs="Times New Roman" w:eastAsia="Times New Roman" w:hAnsi="Times New Roman"/>
          <w:color w:val="333333"/>
          <w:sz w:val="22"/>
          <w:szCs w:val="22"/>
        </w:rPr>
        <w:t xml:space="preserve">ρ is the carrier; Keff is the demodulated scalar. Structurally equivalent to FM demodulation: carrier → ratio-state, observable → effective complexity.</w:t>
      </w:r>
    </w:p>
    <w:p>
      <w:pPr>
        <w:spacing w:after="40" w:before="80"/>
        <w:ind w:left="480"/>
      </w:pPr>
      <w:r>
        <w:rPr>
          <w:rFonts w:ascii="Times New Roman" w:cs="Times New Roman" w:eastAsia="Times New Roman" w:hAnsi="Times New Roman"/>
          <w:i/>
          <w:iCs/>
          <w:color w:val="6B3FA0"/>
          <w:sz w:val="22"/>
          <w:szCs w:val="22"/>
        </w:rPr>
        <w:t xml:space="preserve">Identification.</w:t>
      </w:r>
    </w:p>
    <w:p>
      <w:pPr>
        <w:spacing w:after="60" w:before="0"/>
        <w:ind w:left="720" w:right="360"/>
      </w:pPr>
      <w:r>
        <w:rPr>
          <w:rFonts w:ascii="Times New Roman" w:cs="Times New Roman" w:eastAsia="Times New Roman" w:hAnsi="Times New Roman"/>
          <w:i w:val="false"/>
          <w:iCs w:val="false"/>
          <w:color w:val="333333"/>
          <w:sz w:val="21"/>
          <w:szCs w:val="21"/>
        </w:rPr>
        <w:t xml:space="preserve">Ontological role assignment, not a theorem. See Context Book §2.1.</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C — Supermodularity and Lattice Theory</w:t>
      </w:r>
    </w:p>
    <w:p>
      <w:pPr>
        <w:spacing w:after="160" w:before="0"/>
        <w:ind w:left="480"/>
        <w:jc w:val="both"/>
      </w:pPr>
      <w:r>
        <w:rPr>
          <w:rFonts w:ascii="Times New Roman" w:cs="Times New Roman" w:eastAsia="Times New Roman" w:hAnsi="Times New Roman"/>
          <w:i/>
          <w:iCs/>
          <w:color w:val="2E75B6"/>
          <w:sz w:val="22"/>
          <w:szCs w:val="22"/>
        </w:rPr>
        <w:t xml:space="preserve">See Context Book §6 (The Amplification Network)</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C.1 (Lattice).  </w:t>
      </w:r>
      <w:r>
        <w:rPr>
          <w:rFonts w:ascii="Times New Roman" w:cs="Times New Roman" w:eastAsia="Times New Roman" w:hAnsi="Times New Roman"/>
          <w:color w:val="333333"/>
          <w:sz w:val="22"/>
          <w:szCs w:val="22"/>
        </w:rPr>
        <w:t xml:space="preserve">A partially ordered set (L, ≤) is a lattice if every pair has a join (x ∨ y) and a meet (x ∧ y).</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C.2 (Supermodular Function).  </w:t>
      </w:r>
      <w:r>
        <w:rPr>
          <w:rFonts w:ascii="Times New Roman" w:cs="Times New Roman" w:eastAsia="Times New Roman" w:hAnsi="Times New Roman"/>
          <w:color w:val="333333"/>
          <w:sz w:val="22"/>
          <w:szCs w:val="22"/>
        </w:rPr>
        <w:t xml:space="preserve">f: L → ℝ is supermodular if f(x ∨ y) + f(x ∧ y) ≥ f(x) + f(y). Complementarity / increasing returns.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C.3 (Supermodularity ⇔ Increasing Differences).  </w:t>
      </w:r>
      <w:r>
        <w:rPr>
          <w:rFonts w:ascii="Times New Roman" w:cs="Times New Roman" w:eastAsia="Times New Roman" w:hAnsi="Times New Roman"/>
          <w:color w:val="333333"/>
          <w:sz w:val="22"/>
          <w:szCs w:val="22"/>
        </w:rPr>
        <w:t xml:space="preserve">For f ∈ C²: f supermodular ⇔ ∂²f/∂xᵢ∂xⱼ ≥ 0 for all i ≠ j.</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 Take x′ differing in components i,j. Supermodularity ⇒ second-order expansion gives non-negative cross-partial.</w:t>
      </w:r>
    </w:p>
    <w:p>
      <w:pPr>
        <w:spacing w:after="60" w:before="0"/>
        <w:ind w:left="720" w:right="360"/>
      </w:pPr>
      <w:r>
        <w:rPr>
          <w:rFonts w:ascii="Times New Roman" w:cs="Times New Roman" w:eastAsia="Times New Roman" w:hAnsi="Times New Roman"/>
          <w:i w:val="false"/>
          <w:iCs w:val="false"/>
          <w:color w:val="333333"/>
          <w:sz w:val="21"/>
          <w:szCs w:val="21"/>
        </w:rPr>
        <w:t xml:space="preserve">(⇐) Non-negative cross-partials ⇒ induction on coordinates yields the lattice inequality.</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C.4 (Topkis Monotonicity).  </w:t>
      </w:r>
      <w:r>
        <w:rPr>
          <w:rFonts w:ascii="Times New Roman" w:cs="Times New Roman" w:eastAsia="Times New Roman" w:hAnsi="Times New Roman"/>
          <w:color w:val="333333"/>
          <w:sz w:val="22"/>
          <w:szCs w:val="22"/>
        </w:rPr>
        <w:t xml:space="preserve">If f(x,t) is supermodular in x with increasing differences in (x,t), then x*(t) = argmax f(x,t) is non-decreasing in t.</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Suppose x*(t′) &lt; x*(t) for t′ &gt; t. Optimality at both points plus increasing differences yields contradiction.</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C.5 (Submodular Function).  </w:t>
      </w:r>
      <w:r>
        <w:rPr>
          <w:rFonts w:ascii="Times New Roman" w:cs="Times New Roman" w:eastAsia="Times New Roman" w:hAnsi="Times New Roman"/>
          <w:color w:val="333333"/>
          <w:sz w:val="22"/>
          <w:szCs w:val="22"/>
        </w:rPr>
        <w:t xml:space="preserve">f submodular ⇔ −f supermodular. Captures diminishing returns.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C.6 (Greedy (1−1/e) Bound).  </w:t>
      </w:r>
      <w:r>
        <w:rPr>
          <w:rFonts w:ascii="Times New Roman" w:cs="Times New Roman" w:eastAsia="Times New Roman" w:hAnsi="Times New Roman"/>
          <w:color w:val="333333"/>
          <w:sz w:val="22"/>
          <w:szCs w:val="22"/>
        </w:rPr>
        <w:t xml:space="preserve">For monotone submodular f with f(∅) = 0, greedy achieves f(S_greedy) ≥ (1−1/e)·f(S*). Tight (Nemhauser et al., 1978).</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Submodularity ⇒ marginal gain of greedy choice ≥ (1/k)[f(S*) − f(Sᵢ)]. Telescoping: δₖ ≤ (1−1/k)ᵏ f(S*) &lt; (1/e)f(S*).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C.7 (HUF Knowledge Function Supermodular).  </w:t>
      </w:r>
      <w:r>
        <w:rPr>
          <w:rFonts w:ascii="Times New Roman" w:cs="Times New Roman" w:eastAsia="Times New Roman" w:hAnsi="Times New Roman"/>
          <w:color w:val="333333"/>
          <w:sz w:val="22"/>
          <w:szCs w:val="22"/>
        </w:rPr>
        <w:t xml:space="preserve">Under theorem transport (F.3), the total usable knowledge f over HUF domains is supermodular: adding a domain is more valuable when more domains exist.</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Isomorphism creates cross-links. Marginal value of domain d₂ given d₁ ≥ marginal value without d₁. This is the increasing-differences characterisation.</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D — Control Theory: PLL Structural Homomorphism</w:t>
      </w:r>
    </w:p>
    <w:p>
      <w:pPr>
        <w:spacing w:after="160" w:before="0"/>
        <w:ind w:left="480"/>
        <w:jc w:val="both"/>
      </w:pPr>
      <w:r>
        <w:rPr>
          <w:rFonts w:ascii="Times New Roman" w:cs="Times New Roman" w:eastAsia="Times New Roman" w:hAnsi="Times New Roman"/>
          <w:i/>
          <w:iCs/>
          <w:color w:val="2E75B6"/>
          <w:sz w:val="22"/>
          <w:szCs w:val="22"/>
        </w:rPr>
        <w:t xml:space="preserve">See Context Book §3 (The Control Pipeline)</w:t>
      </w:r>
    </w:p>
    <w:p>
      <w:pPr>
        <w:spacing w:after="160" w:before="0"/>
        <w:ind w:left="480"/>
        <w:jc w:val="both"/>
      </w:pPr>
      <w:r>
        <w:rPr>
          <w:rFonts w:ascii="Times New Roman" w:cs="Times New Roman" w:eastAsia="Times New Roman" w:hAnsi="Times New Roman"/>
          <w:i/>
          <w:iCs/>
          <w:color w:val="2E75B6"/>
          <w:sz w:val="22"/>
          <w:szCs w:val="22"/>
        </w:rPr>
        <w:t xml:space="preserve">See Context Book §4 (Failure Modes and Engineering Lineage)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D.1 (Phase-Locked Loop).  </w:t>
      </w:r>
      <w:r>
        <w:rPr>
          <w:rFonts w:ascii="Times New Roman" w:cs="Times New Roman" w:eastAsia="Times New Roman" w:hAnsi="Times New Roman"/>
          <w:color w:val="333333"/>
          <w:sz w:val="22"/>
          <w:szCs w:val="22"/>
        </w:rPr>
        <w:t xml:space="preserve">PLL := { Phase Detector → Loop Filter → VCO → Feedback Divider }. Error variable: phase difference θₑ(t).</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D.2 (CL Architecture).  </w:t>
      </w:r>
      <w:r>
        <w:rPr>
          <w:rFonts w:ascii="Times New Roman" w:cs="Times New Roman" w:eastAsia="Times New Roman" w:hAnsi="Times New Roman"/>
          <w:color w:val="333333"/>
          <w:sz w:val="22"/>
          <w:szCs w:val="22"/>
        </w:rPr>
        <w:t xml:space="preserve">CL := { CL-01 → CL-02 → CL-03 → CL-04 → CL-05 }. Carrier: ρ ∈ Δ. Observable: Keff.</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D.3 (PLL→CL Structural Homomorphism).  </w:t>
      </w:r>
      <w:r>
        <w:rPr>
          <w:rFonts w:ascii="Times New Roman" w:cs="Times New Roman" w:eastAsia="Times New Roman" w:hAnsi="Times New Roman"/>
          <w:color w:val="333333"/>
          <w:sz w:val="22"/>
          <w:szCs w:val="22"/>
        </w:rPr>
        <w:t xml:space="preserve">F: PLL → CL preserves: (i) composition; (ii) feedback topology; (iii) stability conditions (Barkhausen → CL damping); (iv) noise performance (BW-SNR → sensitivity-specificity). Parameter values require calibration.</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(i) PD→LF→VCO maps to CL-02→CL-03→CL-05. (ii) Divider→PD maps to CL-01→CL-02. (iii) Barkhausen phase margin → CL-04 hysteresis (ζ &gt; 0.707). (iv) PLL noise BW Bₗ → CL-02 threshold. All four structural properties preserved.</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D.4 (Failure Mode Inheritance).  </w:t>
      </w:r>
      <w:r>
        <w:rPr>
          <w:rFonts w:ascii="Times New Roman" w:cs="Times New Roman" w:eastAsia="Times New Roman" w:hAnsi="Times New Roman"/>
          <w:color w:val="333333"/>
          <w:sz w:val="22"/>
          <w:szCs w:val="22"/>
        </w:rPr>
        <w:t xml:space="preserve">Under F: cycle slipping → Keff overshoot; false lock → local Keff optimum; loss of lock → shock beyond range; jitter → Keff variance growth.</w:t>
      </w:r>
    </w:p>
    <w:p>
      <w:pPr>
        <w:spacing w:after="40" w:before="80"/>
        <w:ind w:left="480"/>
      </w:pPr>
      <w:r>
        <w:rPr>
          <w:rFonts w:ascii="Times New Roman" w:cs="Times New Roman" w:eastAsia="Times New Roman" w:hAnsi="Times New Roman"/>
          <w:i/>
          <w:iCs/>
          <w:color w:val="6B3FA0"/>
          <w:sz w:val="22"/>
          <w:szCs w:val="22"/>
        </w:rPr>
        <w:t xml:space="preserve">Remark.</w:t>
      </w:r>
    </w:p>
    <w:p>
      <w:pPr>
        <w:spacing w:after="60" w:before="0"/>
        <w:ind w:left="720" w:right="360"/>
      </w:pPr>
      <w:r>
        <w:rPr>
          <w:rFonts w:ascii="Times New Roman" w:cs="Times New Roman" w:eastAsia="Times New Roman" w:hAnsi="Times New Roman"/>
          <w:i w:val="false"/>
          <w:iCs w:val="false"/>
          <w:color w:val="333333"/>
          <w:sz w:val="21"/>
          <w:szCs w:val="21"/>
        </w:rPr>
        <w:t xml:space="preserve">F preserves feedback topology and error path. PLL failure modes defined by θₑ exceeding bounds map to CL modes by ΔKeff exceeding bounds.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D.5 (Hysteresis Protocol).  </w:t>
      </w:r>
      <w:r>
        <w:rPr>
          <w:rFonts w:ascii="Times New Roman" w:cs="Times New Roman" w:eastAsia="Times New Roman" w:hAnsi="Times New Roman"/>
          <w:color w:val="333333"/>
          <w:sz w:val="22"/>
          <w:szCs w:val="22"/>
        </w:rPr>
        <w:t xml:space="preserve">Pair (η, m): escalation guard η &gt; 0 (exceed threshold by η to escalate); persistence count m ∈ ℤ₊ (m consecutive breaches required). De-escalation at threshold without offset, m consecutive below.</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D.6 (Hysteresis Eliminates Verdict Jitter).  </w:t>
      </w:r>
      <w:r>
        <w:rPr>
          <w:rFonts w:ascii="Times New Roman" w:cs="Times New Roman" w:eastAsia="Times New Roman" w:hAnsi="Times New Roman"/>
          <w:color w:val="333333"/>
          <w:sz w:val="22"/>
          <w:szCs w:val="22"/>
        </w:rPr>
        <w:t xml:space="preserve">For monitored quantity x(t) with variance σ², under (η, m): transition rate ≤ C · exp(−η²/(2σ²)) / m.</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Guard η raises effective threshold. Gaussian tail: P(exceed by η) ~ exp(−η²/(2σ²)). Persistence m divides rate. Combined bound follows.</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E — IMC-PID Calibration Theory</w:t>
      </w:r>
    </w:p>
    <w:p>
      <w:pPr>
        <w:spacing w:after="160" w:before="0"/>
        <w:ind w:left="480"/>
        <w:jc w:val="both"/>
      </w:pPr>
      <w:r>
        <w:rPr>
          <w:rFonts w:ascii="Times New Roman" w:cs="Times New Roman" w:eastAsia="Times New Roman" w:hAnsi="Times New Roman"/>
          <w:i/>
          <w:iCs/>
          <w:color w:val="2E75B6"/>
          <w:sz w:val="22"/>
          <w:szCs w:val="22"/>
        </w:rPr>
        <w:t xml:space="preserve">See Context Book §5 (Calibration Philosophy)</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E.1 (FOPDT Model).  </w:t>
      </w:r>
      <w:r>
        <w:rPr>
          <w:rFonts w:ascii="Times New Roman" w:cs="Times New Roman" w:eastAsia="Times New Roman" w:hAnsi="Times New Roman"/>
          <w:color w:val="333333"/>
          <w:sz w:val="22"/>
          <w:szCs w:val="22"/>
        </w:rPr>
        <w:t xml:space="preserve">G(s) = Kₚ e⁻ᶽs / (τs + 1). Process gain Kₚ, time constant τ, dead time θ.</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E.2 (IMC-PID Controller).  </w:t>
      </w:r>
      <w:r>
        <w:rPr>
          <w:rFonts w:ascii="Times New Roman" w:cs="Times New Roman" w:eastAsia="Times New Roman" w:hAnsi="Times New Roman"/>
          <w:color w:val="333333"/>
          <w:sz w:val="22"/>
          <w:szCs w:val="22"/>
        </w:rPr>
        <w:t xml:space="preserve">Single tuning parameter λ (closed-loop time constant). PID gains:</w:t>
      </w:r>
    </w:p>
    <w:p>
      <w:pPr>
        <w:spacing w:after="120" w:before="120"/>
        <w:jc w:val="center"/>
      </w:pPr>
      <w:r>
        <w:rPr>
          <w:rFonts w:ascii="Cambria Math" w:cs="Cambria Math" w:eastAsia="Cambria Math" w:hAnsi="Cambria Math"/>
          <w:color w:val="333333"/>
          <w:sz w:val="22"/>
          <w:szCs w:val="22"/>
        </w:rPr>
        <w:t xml:space="preserve">Kᴄ = (τ + θ/2) / (Kₚ(λ + θ/2))</w:t>
      </w:r>
    </w:p>
    <w:p>
      <w:pPr>
        <w:spacing w:after="120" w:before="120"/>
        <w:jc w:val="center"/>
      </w:pPr>
      <w:r>
        <w:rPr>
          <w:rFonts w:ascii="Cambria Math" w:cs="Cambria Math" w:eastAsia="Cambria Math" w:hAnsi="Cambria Math"/>
          <w:color w:val="333333"/>
          <w:sz w:val="22"/>
          <w:szCs w:val="22"/>
        </w:rPr>
        <w:t xml:space="preserve">τᴼ = τ + θ/2</w:t>
      </w:r>
    </w:p>
    <w:p>
      <w:pPr>
        <w:spacing w:after="120" w:before="120"/>
        <w:jc w:val="center"/>
      </w:pPr>
      <w:r>
        <w:rPr>
          <w:rFonts w:ascii="Cambria Math" w:cs="Cambria Math" w:eastAsia="Cambria Math" w:hAnsi="Cambria Math"/>
          <w:color w:val="333333"/>
          <w:sz w:val="22"/>
          <w:szCs w:val="22"/>
        </w:rPr>
        <w:t xml:space="preserve">τᴰ = τθ / (2τ + θ)</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E.3 (IMC-PID Derivation via Padé).  </w:t>
      </w:r>
      <w:r>
        <w:rPr>
          <w:rFonts w:ascii="Times New Roman" w:cs="Times New Roman" w:eastAsia="Times New Roman" w:hAnsi="Times New Roman"/>
          <w:color w:val="333333"/>
          <w:sz w:val="22"/>
          <w:szCs w:val="22"/>
        </w:rPr>
        <w:t xml:space="preserve">Gains arise from: (1) FOPDT model; (2) first-order Padé for dead time; (3) invert minimum-phase part; (4) IMC filter 1/(λs+1); (5) convert to PID form.</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G⁺ = Kₚ/(τs+1), Q = [G⁺]⁻¹ F = (τs+1)/(Kₚ(λs+1)). Padé: e⁻ᶽs ≈ (1−θs/2)/(1+θs/2). Converting Q/(1−QG) to PID form by coefficient matching yields the stated gains.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E.4 (Robustness to ±20% Mismatch).  </w:t>
      </w:r>
      <w:r>
        <w:rPr>
          <w:rFonts w:ascii="Times New Roman" w:cs="Times New Roman" w:eastAsia="Times New Roman" w:hAnsi="Times New Roman"/>
          <w:color w:val="333333"/>
          <w:sz w:val="22"/>
          <w:szCs w:val="22"/>
        </w:rPr>
        <w:t xml:space="preserve">For λ ≥ θ: ±20% simultaneous mismatch in (Kₚ, τ, θ) yields Mₛ &lt; 2.0. Stability maintained.</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Multiplicative uncertainty Δₘ decomposes into gain, dead-time, and time-constant terms. IMC filter |T| = 1/√(1+(ωλ)²) rolls off at −20 dB/dec. Small-gain: ‖TΔₘ‖∞ &lt; 1 when λ ≥ θ. Worst-case product ≈ 0.72 at critical frequency. Mₛ &lt; 2.0 follows.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E.6 (Robustness Margin).  </w:t>
      </w:r>
      <w:r>
        <w:rPr>
          <w:rFonts w:ascii="Times New Roman" w:cs="Times New Roman" w:eastAsia="Times New Roman" w:hAnsi="Times New Roman"/>
          <w:color w:val="333333"/>
          <w:sz w:val="22"/>
          <w:szCs w:val="22"/>
        </w:rPr>
        <w:t xml:space="preserve">μ(k,r) = 1/sup|TΔₘ|, k = λ/θ, r = τ/θ. μ &gt; 1 ⇒ stability.</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E.7 (Explicit Robustness Margin for λ = θ).  </w:t>
      </w:r>
      <w:r>
        <w:rPr>
          <w:rFonts w:ascii="Times New Roman" w:cs="Times New Roman" w:eastAsia="Times New Roman" w:hAnsi="Times New Roman"/>
          <w:color w:val="333333"/>
          <w:sz w:val="22"/>
          <w:szCs w:val="22"/>
        </w:rPr>
        <w:t xml:space="preserve">k = 1: μ(1,r) &gt; 2.25 for all r. μ(1,1) ≈ 2.91, μ(1,2) ≈ 2.55, μ(1,5) ≈ 2.25. μ increases with k.</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p(u) = B(u,r)/√(1+k²u²) maximised by solving a degree-6 polynomial. 8-corner perturbation grid confirms values. μ &gt; 2.25 even for r → ∞ because T roll-off dominates B growth.</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E.8 (Reference Update Protocol).  </w:t>
      </w:r>
      <w:r>
        <w:rPr>
          <w:rFonts w:ascii="Times New Roman" w:cs="Times New Roman" w:eastAsia="Times New Roman" w:hAnsi="Times New Roman"/>
          <w:color w:val="333333"/>
          <w:sz w:val="22"/>
          <w:szCs w:val="22"/>
        </w:rPr>
        <w:t xml:space="preserve">R: (ρ_ref, ρ(t), verdict(t)) → ρ_ref′. Three canonical: (a) declared baseline; (b) epoch baseline; (c) exponential baseline (α-EMA, GREEN periods only).</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E.9 (Reference Staleness Bound).  </w:t>
      </w:r>
      <w:r>
        <w:rPr>
          <w:rFonts w:ascii="Times New Roman" w:cs="Times New Roman" w:eastAsia="Times New Roman" w:hAnsi="Times New Roman"/>
          <w:color w:val="333333"/>
          <w:sz w:val="22"/>
          <w:szCs w:val="22"/>
        </w:rPr>
        <w:t xml:space="preserve">Declared baseline: |TV(ρ(t), ρ_ref) − δ(t)| ≤ ε_obs. Exponential baseline: underestimates drift by (1−α)ᵀ after T observations.</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Declared: triangle inequality for TV bounds measurement error by observation noise. Exponential: EMA convergence gives residual (1−α)ᵀ, absorbing drift.</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E.10 (SOPDT Model).  </w:t>
      </w:r>
      <w:r>
        <w:rPr>
          <w:rFonts w:ascii="Times New Roman" w:cs="Times New Roman" w:eastAsia="Times New Roman" w:hAnsi="Times New Roman"/>
          <w:color w:val="333333"/>
          <w:sz w:val="22"/>
          <w:szCs w:val="22"/>
        </w:rPr>
        <w:t xml:space="preserve">G(s) = Kₚ e⁻ᶽs / ((τ₁s+1)(τ₂s+1)). Two time constants. FOPDT recovered when τ₂ → 0. Use when step response is S-shaped or single-exponential fit leaves systematic residuals.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E.11 (SOPDT IMC-PID Gains).  </w:t>
      </w:r>
      <w:r>
        <w:rPr>
          <w:rFonts w:ascii="Times New Roman" w:cs="Times New Roman" w:eastAsia="Times New Roman" w:hAnsi="Times New Roman"/>
          <w:color w:val="333333"/>
          <w:sz w:val="22"/>
          <w:szCs w:val="22"/>
        </w:rPr>
        <w:t xml:space="preserve">Kc = (τ₁+τ₂+θ/2) / (Kₚ(λ+θ/2)),  τI = τ₁+τ₂+θ/2,  τD = τ₁τ₂/(τ₁+τ₂+θ/2). Recover FOPDT when τ₂ → 0.</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IMC: Q = (τ₁s+1)(τ₂s+1)(1+θs/2) / [Kₚ(1−θs/2)(λs+1)]. Convert to feedback form. Expand numerator, drop O(s³). Match to PID: Kc from s¹ coefficient, τI from s⁰, τD from s²/s¹. Recovery: τ₂=0 ⇒ Kc=(τ₁+θ/2)/(Kₚ(λ+θ/2)), τD=0.</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E.5 (Simplex-Preserving Control).  </w:t>
      </w:r>
      <w:r>
        <w:rPr>
          <w:rFonts w:ascii="Times New Roman" w:cs="Times New Roman" w:eastAsia="Times New Roman" w:hAnsi="Times New Roman"/>
          <w:color w:val="333333"/>
          <w:sz w:val="22"/>
          <w:szCs w:val="22"/>
        </w:rPr>
        <w:t xml:space="preserve">If u ∈ TₚΔ (zero-sum) and ρ + u ≥ 0, then ρ + u ∈ Δ. PID in tangent space preserves simplex.</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Σ(ρᵢ+uᵢ) = 1+0 = 1. Non-negativity by projection (clamp and redistribute).</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F — Amplification Network Theory</w:t>
      </w:r>
    </w:p>
    <w:p>
      <w:pPr>
        <w:spacing w:after="160" w:before="0"/>
        <w:ind w:left="480"/>
        <w:jc w:val="both"/>
      </w:pPr>
      <w:r>
        <w:rPr>
          <w:rFonts w:ascii="Times New Roman" w:cs="Times New Roman" w:eastAsia="Times New Roman" w:hAnsi="Times New Roman"/>
          <w:i/>
          <w:iCs/>
          <w:color w:val="2E75B6"/>
          <w:sz w:val="22"/>
          <w:szCs w:val="22"/>
        </w:rPr>
        <w:t xml:space="preserve">See Context Book §6 (The Amplification Network)</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F.1 (Domain Instantiation).  </w:t>
      </w:r>
      <w:r>
        <w:rPr>
          <w:rFonts w:ascii="Times New Roman" w:cs="Times New Roman" w:eastAsia="Times New Roman" w:hAnsi="Times New Roman"/>
          <w:color w:val="333333"/>
          <w:sz w:val="22"/>
          <w:szCs w:val="22"/>
        </w:rPr>
        <w:t xml:space="preserve">D = (S, ρ, ρ*, Φ): component labels S, current state ρ, ground state ρ*, interpretation Φ.</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F.2 (Cross-Domain Isomorphism).  </w:t>
      </w:r>
      <w:r>
        <w:rPr>
          <w:rFonts w:ascii="Times New Roman" w:cs="Times New Roman" w:eastAsia="Times New Roman" w:hAnsi="Times New Roman"/>
          <w:color w:val="333333"/>
          <w:sz w:val="22"/>
          <w:szCs w:val="22"/>
        </w:rPr>
        <w:t xml:space="preserve">D₁, D₂ are HUF-isomorphic if ∃ bijection σ: S₁ → S₂ commuting with all CL operations.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F.3 (Theorem Transport).  </w:t>
      </w:r>
      <w:r>
        <w:rPr>
          <w:rFonts w:ascii="Times New Roman" w:cs="Times New Roman" w:eastAsia="Times New Roman" w:hAnsi="Times New Roman"/>
          <w:color w:val="333333"/>
          <w:sz w:val="22"/>
          <w:szCs w:val="22"/>
        </w:rPr>
        <w:t xml:space="preserve">Structural result R proved via CL operations in D₁ holds in any isomorphic D₂ without re-proof.</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σ commutes with CL-01–CL-04. Each proof step transports through σ. Only Φ changes.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F.4 (Multi-Phase Scaling Law).  </w:t>
      </w:r>
      <w:r>
        <w:rPr>
          <w:rFonts w:ascii="Times New Roman" w:cs="Times New Roman" w:eastAsia="Times New Roman" w:hAnsi="Times New Roman"/>
          <w:color w:val="333333"/>
          <w:sz w:val="22"/>
          <w:szCs w:val="22"/>
        </w:rPr>
        <w:t xml:space="preserve">K_total = Σaᵢ + β·[n(n−1)/2]·∏aᵢ. Additive + super-linear pairwise coupling. [CONJECTURE]</w:t>
      </w:r>
    </w:p>
    <w:p>
      <w:pPr>
        <w:spacing w:after="40" w:before="80"/>
        <w:ind w:left="480"/>
      </w:pPr>
      <w:r>
        <w:rPr>
          <w:rFonts w:ascii="Times New Roman" w:cs="Times New Roman" w:eastAsia="Times New Roman" w:hAnsi="Times New Roman"/>
          <w:i/>
          <w:iCs/>
          <w:color w:val="6B3FA0"/>
          <w:sz w:val="22"/>
          <w:szCs w:val="22"/>
        </w:rPr>
        <w:t xml:space="preserve">Remark.</w:t>
      </w:r>
    </w:p>
    <w:p>
      <w:pPr>
        <w:spacing w:after="60" w:before="0"/>
        <w:ind w:left="720" w:right="360"/>
      </w:pPr>
      <w:r>
        <w:rPr>
          <w:rFonts w:ascii="Times New Roman" w:cs="Times New Roman" w:eastAsia="Times New Roman" w:hAnsi="Times New Roman"/>
          <w:i w:val="false"/>
          <w:iCs w:val="false"/>
          <w:color w:val="333333"/>
          <w:sz w:val="21"/>
          <w:szCs w:val="21"/>
        </w:rPr>
        <w:t xml:space="preserve">Structural model. ∏aᵢ collapses if any aⱼ → 0. β is empirical. Status: [CONJECTURE].</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F.5 (Self-Training Criterion).  </w:t>
      </w:r>
      <w:r>
        <w:rPr>
          <w:rFonts w:ascii="Times New Roman" w:cs="Times New Roman" w:eastAsia="Times New Roman" w:hAnsi="Times New Roman"/>
          <w:color w:val="333333"/>
          <w:sz w:val="22"/>
          <w:szCs w:val="22"/>
        </w:rPr>
        <w:t xml:space="preserve">HUF is self-training: CL operations are label-free. Only Φ is domain-specific.</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CL-01: Σρᵢ=1 (label-free). CL-02: TV (label-free). CL-03: Keff (label-free). CL-04: thresholds (label-free). No operation references component identity.</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Index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Ref</w:t>
            </w:r>
          </w:p>
        </w:tc>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Result</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Context Book</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A.3</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Unity Invariance → CL-01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Zero-Sum Tangent Space → CL-05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TV Metric Properties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A.7</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Scale Invariance of TV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B.4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Ordering Keff(H) ≤ Keff(S)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B.5</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Strict Concavity → Unique Maximum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B.6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Keff as Demodulated Observable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Identification</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C.3</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Supermodularity ⇔ Increasing Differences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Topkis Monotonicity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Greedy (1−1/e) Bound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C.7</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HUF Knowledge Function Supermodular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D.3</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PLL→CL Structural Homomorphism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D.4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Failure Mode Inheritance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§4</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D.6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Hysteresis Eliminates Verdict Jitter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E.3</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IMC-PID Derivation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Robustness to ±20% Mismatch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E.5</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Simplex-Preserving Control</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E.7</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Explicit Robustness Margin μ(k,r)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E.9</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Reference Staleness Bound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E.11</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SOPDT IMC-PID Gains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F.3</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 Transport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F.4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Multi-Phase Scaling Law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Conjecture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F.5</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Self-Training Criterion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bl>
    <w:p>
      <w:pPr>
        <w:spacing w:after="160" w:before="120"/>
        <w:jc w:val="both"/>
      </w:pPr>
      <w:r>
        <w:rPr>
          <w:rFonts w:ascii="Times New Roman" w:cs="Times New Roman" w:eastAsia="Times New Roman" w:hAnsi="Times New Roman"/>
          <w:b w:val="false"/>
          <w:bCs w:val="false"/>
          <w:i/>
          <w:iCs/>
          <w:color w:val="333333"/>
          <w:sz w:val="22"/>
          <w:szCs w:val="22"/>
        </w:rPr>
        <w:t xml:space="preserve">27 formal results across 6 areas. Identical to HUF-MATH-01 (Mathematician’s Edition). Cross-references point to Sciences Edition Context Book.</w:t>
      </w:r>
    </w:p>
    <w:p>
      <w:r>
        <w:br w:type="page"/>
      </w:r>
    </w:p>
    <w:p>
      <w:pPr>
        <w:pBdr>
          <w:top w:val="single" w:color="2E75B6" w:sz="4" w:space="1"/>
        </w:pBdr>
        <w:spacing w:after="0" w:before="0"/>
      </w:pPr>
    </w:p>
    <w:p>
      <w:pPr>
        <w:spacing w:after="160" w:before="0"/>
        <w:jc w:val="both"/>
      </w:pPr>
      <w:r>
        <w:rPr>
          <w:rFonts w:ascii="Times New Roman" w:cs="Times New Roman" w:eastAsia="Times New Roman" w:hAnsi="Times New Roman"/>
          <w:b w:val="false"/>
          <w:bCs w:val="false"/>
          <w:i/>
          <w:iCs/>
          <w:color w:val="666666"/>
          <w:sz w:val="22"/>
          <w:szCs w:val="22"/>
        </w:rPr>
        <w:t xml:space="preserve">Framework originator and operator directive: Peter Higgins</w:t>
      </w:r>
    </w:p>
    <w:p>
      <w:pPr>
        <w:spacing w:after="160" w:before="0"/>
        <w:jc w:val="both"/>
      </w:pPr>
      <w:r>
        <w:rPr>
          <w:rFonts w:ascii="Times New Roman" w:cs="Times New Roman" w:eastAsia="Times New Roman" w:hAnsi="Times New Roman"/>
          <w:b w:val="false"/>
          <w:bCs w:val="false"/>
          <w:i/>
          <w:iCs/>
          <w:color w:val="666666"/>
          <w:sz w:val="22"/>
          <w:szCs w:val="22"/>
        </w:rPr>
        <w:t xml:space="preserve">Formalisation and document production: Claude (Anthropic)</w:t>
      </w:r>
    </w:p>
    <w:p>
      <w:pPr>
        <w:spacing w:after="160" w:before="0"/>
        <w:jc w:val="both"/>
      </w:pPr>
      <w:r>
        <w:rPr>
          <w:rFonts w:ascii="Times New Roman" w:cs="Times New Roman" w:eastAsia="Times New Roman" w:hAnsi="Times New Roman"/>
          <w:b w:val="false"/>
          <w:bCs w:val="false"/>
          <w:i/>
          <w:iCs/>
          <w:color w:val="666666"/>
          <w:sz w:val="22"/>
          <w:szCs w:val="22"/>
        </w:rPr>
        <w:t xml:space="preserve">Collective review contributions: ChatGPT (OpenAI), Grok (xAI), Gemini (Google), Copilot (Microsoft)</w:t>
      </w:r>
    </w:p>
    <w:p>
      <w:pPr>
        <w:spacing w:after="160" w:before="0"/>
        <w:jc w:val="both"/>
      </w:pPr>
      <w:r>
        <w:rPr>
          <w:rFonts w:ascii="Times New Roman" w:cs="Times New Roman" w:eastAsia="Times New Roman" w:hAnsi="Times New Roman"/>
          <w:b/>
          <w:bCs/>
          <w:i/>
          <w:iCs/>
          <w:color w:val="666666"/>
          <w:sz w:val="22"/>
          <w:szCs w:val="22"/>
        </w:rPr>
        <w:t xml:space="preserve">Evidentiary note: </w:t>
      </w:r>
      <w:r>
        <w:rPr>
          <w:rFonts w:ascii="Times New Roman" w:cs="Times New Roman" w:eastAsia="Times New Roman" w:hAnsi="Times New Roman"/>
          <w:i/>
          <w:iCs/>
          <w:color w:val="666666"/>
          <w:sz w:val="22"/>
          <w:szCs w:val="22"/>
        </w:rPr>
        <w:t xml:space="preserve">This edition is derived from HUF-MATH-01 (Mathematician’s Edition) via controlled subtraction. All 27 formal results are identical. Proofs condensed where scientists own the prerequisites. Evidentiary tiers unchanged: CL-03 ADD*, CL-05 STORE, F.4 [CONJECTURE]. All domain examples in the paired Context Book are illustrative; none constitute empirical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Times New Roman" w:cs="Times New Roman" w:eastAsia="Times New Roman" w:hAnsi="Times New Roman"/>
        <w:color w:val="999999"/>
        <w:sz w:val="16"/>
        <w:szCs w:val="16"/>
      </w:rPr>
      <w:t xml:space="preserve">HUF Advanced Mathematics Reference — Sciences Edition</w:t>
    </w:r>
    <w:r>
      <w:rPr>
        <w:rFonts w:ascii="Times New Roman" w:cs="Times New Roman" w:eastAsia="Times New Roman" w:hAnsi="Times New Roman"/>
        <w:color w:val="999999"/>
        <w:sz w:val="16"/>
        <w:szCs w:val="16"/>
      </w:rPr>
      <w:t xml:space="preserve">	HUF-MATH-03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2026-03-17T06:01:15.394Z</dcterms:created>
  <dcterms:modified xsi:type="dcterms:W3CDTF">2026-03-17T06:01:15.394Z</dcterms:modified>
</cp:coreProperties>
</file>

<file path=docProps/custom.xml><?xml version="1.0" encoding="utf-8"?>
<Properties xmlns="http://schemas.openxmlformats.org/officeDocument/2006/custom-properties" xmlns:vt="http://schemas.openxmlformats.org/officeDocument/2006/docPropsVTypes"/>
</file>