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4"/>
          <w:szCs w:val="44"/>
        </w:rPr>
        <w:t xml:space="preserve">THE FOURTH MONITORING CATEGORY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color w:val="2E75B6"/>
          <w:sz w:val="28"/>
          <w:szCs w:val="28"/>
        </w:rPr>
        <w:t xml:space="preserve">Composition Monitoring as a Degenerate State Observer</w:t>
      </w:r>
    </w:p>
    <w:p>
      <w:pPr>
        <w:spacing w:before="4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color w:val="333333"/>
          <w:sz w:val="24"/>
          <w:szCs w:val="24"/>
        </w:rPr>
        <w:t xml:space="preserve">Pillar 2 of the HUF Triad · Version 2.6 (Dual-Column) · HUF-Org with ML Validation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March 2026</w:t>
      </w:r>
    </w:p>
    <w:p>
      <w:pPr>
        <w:spacing w:before="60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Peter Higgins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Rogue Wave Audio, Markham, Ontario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HUF v1.2.0 · MIT License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Three monitoring categories are established in the environmental and governance literature: Passive (MC-1), Mandated (MC-2), and Question-driven (MC-3). This paper introduces a fourth: Composition Monitoring (MC-4). MC-4 is structurally distinct from its predecessors in five properties: it is self-referential (uses the system's own declared intent as its reference), non-invasive (reads existing outputs), model-free (requires no mathematical model), bidirectional (detects concentration and fragmentation under the same constraint), and cross-cycle (produces a traceable governance record across all reporting periods). The mathematical basis is the degenerate state observer: on the probability simplex, the state IS the output, the estimation gain is zero, and the estimation error is identically zero without requiring a dynamic model. We identify six structurally invisible failure modes, derive the Quality Factor Q that explains systematic underweighting of high-cycle elements, map the framework to Ostrom's design principles for commons governance, and present three-domain empirical confirmation. This expanded version (v2.6) introduces dual-column layout with the Car/Fuel Dashboard analogy for intuitive understanding of MC-4 monitoring, Dynamic OCC Drift Monitoring with real-time ratio oscillation detection, Dynamic Portfolio Gating with adaptive thresholds, full data tables, Toronto King Street causal analysis, 13 open conjectures from the collective review, and cross-references to the HUF Triad.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1. Introduction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Monitoring is the systematic observation of a system's state for the purpose of informing governance decisions. The ecological monitoring literature recognizes three categories, distinguished by their reference standard: Passive monitoring (MC-1) observes without a structured reference; Mandated monitoring (MC-2) compares against external legal thresholds; Question-driven monitoring (MC-3) tests a conceptual model [1, 2].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Each category is defined by its reference mechanism: MC-1 (none), MC-2 (external threshold), MC-3 (conceptual model). All three compare observed state to a reference frame. MC-4 breaks the pattern.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Each category has a blind spot. MC-1 detects events but cannot attribute them. MC-2 detects threshold breaches but ignores structural changes below the threshold. MC-3 detects model violations but cannot see what falls outside its hypothesis frame. All three share a deeper limitation: they cannot distinguish between intentional allocation changes and silent drift in a system's resource distribution [3].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The shared limitation across MC-1, MC-2, MC-3: none can distinguish intentional (declared) change from silent (undeclared) drift. All three are vulnerable to silent reweighting—structural reallocation that leaves no governance record.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This paper introduces a fourth monitoring category—Composition Monitoring (MC-4)—that addresses this structural gap. MC-4 monitors the proportional allocation of a finite-budget system against its own declared priorities. It detects silent drift (undeclared reallocation), distinguishes it from intentional reweighting (declared reallocation), and produces a cross-cycle governance record. The instrument is the unity constraint: Σρᵢ = 1, the tautological requirement that shares of a fixed total sum to that total.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MC-4 uses the system's own declared weights as reference. It monitors whether observed shares match declared shares. Silent drift = (declared - observed) ≠ 0 without governance decision. The unity constraint is the key: it makes ratio monitoring domain-independent.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2. Definitions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All terms are consistent with the HUF Triad unified glossary (Volume 8, Section 8). Terms are listed in dependency order.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Definitions follow the probability simplex S^K: a K-dimensional space where all coordinates ρᵢ ≥ 0 and Σρᵢ = 1. All HUF terms are defined on this geometric space.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Budget ceiling (M)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The total of a finite-budget system, indexed to 1.0.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Element (i)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Any constituent holding a share of the budget ceiling. Minimum two elements.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Share (ρᵢ)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An element's proportion of the total: ρᵢ = mᵢ / Σm_c. Always non-negative, indexed to unity.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Unity constraint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Σρᵢ = 1. The foundational invariant on the probability simplex.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Declared weight (ρᵢ^decl)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The share an operator states each element should hold. May be time-varying.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Observed share (ρᵢ^obs)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The share an element actually holds, computed from outputs. May differ from declared.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Silent drift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Change in ratio state not traceable to a recorded governance decision. ρ^obs changes; no decision log entry.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Intentional reweighting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Change traceable to a recorded governance decision. ρ^decl updated and documented.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Mean drift gap (MDG)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(1/K)Σ|ρᵢ^decl − ρᵢ^obs|. Average absolute drift across all elements. Key metric.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Leverage (1/ρᵢ)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Reciprocal of share. Sensitivity to removal or reduction. High leverage = high governance risk.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Quality factor (Q)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T_char/T_obs. Ratio of element's characteristic period to observation window. High Q = narrow visibility window.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Ground state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MDG → 0. All change declared. Self-correcting feedback loop in place.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Degenerate observer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State observer where y(t) = ρ(t). L = 0. Zero estimation error. Perfect observability on simplex.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Orphan element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Element present on paper but outside effective governance. ρ^obs ≈ 0 long-term.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OCC 51/49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Operator Control Contract: w_op ≥ 0.51, w_tool ≤ 0.49. Governance authority split.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Dynamic OCC drift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Real-time oscillation of the OCC ratio around the declared 51/49 nominal. Normal behavior if bounded.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40" w:line="276"/>
              <w:ind w:left="3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333333"/>
                <w:sz w:val="22"/>
                <w:szCs w:val="22"/>
              </w:rPr>
              <w:t xml:space="preserve">Portfolio gating</w:t>
            </w:r>
            <w:r>
              <w:rPr>
                <w:rFonts w:ascii="Times New Roman" w:cs="Times New Roman" w:eastAsia="Times New Roman" w:hAnsi="Times New Roman"/>
                <w:color w:val="333333"/>
                <w:sz w:val="22"/>
                <w:szCs w:val="22"/>
              </w:rPr>
              <w:t>. Dynamic inclusion/exclusion of elements based on observability threshold. Maintains unity constraint.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3. Three Established Monitoring Categories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ecological monitoring literature established three categories, each with its own reference frame and blind spot. Understanding these three is essential to understanding why MC-4 is necessary.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Classification by reference mechanism. MC-1 has no external reference; MC-2 has external threshold; MC-3 has internal model. MC-4 has self-referential threshold: Σρᵢ^decl.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700"/>
              <w:gridCol w:w="2200"/>
              <w:gridCol w:w="1800"/>
              <w:gridCol w:w="2160"/>
            </w:tblGrid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Category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Reference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Primary Question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Intentional/Silent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Cross-Cycle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MC-1: Passive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None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What is happening?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Absent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Incidental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MC-2: Mandated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External threshold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Is threshold breached?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Absent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Trend only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MC-3: Question-driven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Conceptual model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Does the model hold?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Absent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2F2F2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Within hypothesis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MC-4: Ratio State</w:t>
                  </w:r>
                </w:p>
              </w:tc>
              <w:tc>
                <w:tcPr>
                  <w:tcW w:type="dxa" w:w="1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Own declared intent</w:t>
                  </w:r>
                </w:p>
              </w:tc>
              <w:tc>
                <w:tcPr>
                  <w:tcW w:type="dxa" w:w="2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Is intent being met?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Primary output</w:t>
                  </w:r>
                </w:p>
              </w:tc>
              <w:tc>
                <w:tcPr>
                  <w:tcW w:type="dxa" w:w="216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333333"/>
                      <w:sz w:val="20"/>
                      <w:szCs w:val="20"/>
                    </w:rPr>
                    <w:t xml:space="preserve">Structural—all cycles</w:t>
                  </w:r>
                </w:p>
              </w:tc>
            </w:tr>
          </w:tbl>
          <w:p/>
        </w:tc>
      </w:tr>
    </w:tbl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MC-4's five defining properties distinguish it from the first three: (1) self-referential—the system's own declared priorities serve as the reference; (2) non-invasive—reads existing outputs without new data collection; (3) model-free—requires no mathematical model of the system's dynamics; (4) bidirectional—detects concentration and fragmentation under the same constraint; (5) cross-cycle—produces a traceable governance record across all reporting periods.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These five properties form a closure: self-referential + non-invasive ⇒ model-free. Model-free + unity constraint ⇒ bidirectional. All five + artifact trail ⇒ cross-cycle memory.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4. Car Dashboard Analogy: The Fuel Gauge as MC-4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Imagine your car's fuel gauge. The tank holds a fixed capacity. At any moment, the gauge reads the proportion of fuel remaining—a number between 0 and 1 that sums with the "empty" fraction to unity. The driver's declared intent is "keep the tank between 40% and 60% full." The gauge IS the state observer: it directly reads what you want to know.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The fuel gauge is a degenerate state observer. State = output. No model of engine consumption is needed. No external reference threshold (like "EPA minimum") is required. The gauge reads ρ_fuel directly on the unity constraint: ρ_fuel + ρ_empty = 1.0.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As fuel depletes during driving, the driver's responsibility grows. At 50% fuel, the driver must manage equally with the fuel. At 10% fuel, the driver's share is 90%—nearly all responsibility falls to the driver to refuel. This rising ratio ρ_driver/ρ_fuel is the OCC contract ratio in real time.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OCC drift in the fuel metaphor: dρ_driver/dt &gt; 0 while ρ_fuel → 0. The ratio oscillates around 51/49 (declared), but if the driver fails to refuel (governance decision absent), the ratio drifts toward 100/0. This is the Deceptive Drift: rising responsibility ratio is the death signal.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"Deceptive Drift" in driving: the gauge shows fuel depleting, but the driver keeps accelerating without refueling. The ratio shifts imperceptibly at first (50/50 → 55/45). But if undeclared drift persists, the ratio approaches 100/0—the driver is now solely responsible for every decision. At this point, system collapse (stall) is imminent.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Drift detection: |dO/dt| &gt; threshold_alarm, where O(ρ) = ρ_operator/ρ_tool. In the fuel analogy, MC-4 is the alert system: "Your tank is at 8% and drifting toward empty without a declared refueling decision. This is Deceptive Drift. Corrective action required NOW."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5. Dynamic OCC Drift Monitoring: The Deceptive Drift as Death Signal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Operator Control Contract (OCC) states that operator share ≥ 0.51 and tool share ≤ 0.49. In real time, this ratio oscillates. Normal oscillation is bounded and temporary. But systematic drift—where operator ratio rises while tool ratio systematically declines—is pathological.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OCC Drift definition: dρ_operator/dt &gt; 0 over an observation window, paired with dρ_tool/dt &lt; 0. The ratio drifts away from 51/49 nominal. If drift is undeclared (no governance decision recorded), this is silent drift.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Deceptive Drift is the most dangerous failure mode: the operator's share rises from 51% toward 100% while the tool's share collapses from 49% toward 0%, yet NO reweighting decision is recorded. The system appears to be operating normally; the monitoring log shows no intervention. But the governance structure is silently collapsing.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Death signal: The Deceptive Drift is lethal because the system cannot recover without external intervention. Once ρ_operator → 1 and ρ_tool → 0, the system has zero tool capacity and cannot execute operator decisions. MC-4 detects this via: |dO/dt| &gt; threshold_alarm where O = ρ_op/ρ_tool, and Σ(ρ_decl − ρ_obs) grows monotonically.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Detection is achieved through continuous monitoring of the OCC ratio oscillation (dynamic behavioral envelope) and the time-integrated drift (MDG accumulation). If MDG grows without decision records, the system is drifting. If OCC ratio drifts monotonically, the system is dying.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Corrective action window: Once Deceptive Drift is detected, the operator has a finite window to rebalance (reweight declared shares) or risk system collapse. The larger the drift accumulation, the smaller the corrective action window becomes. At ρ_tool &lt; 1%, recovery is impossible.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6. HUF-Org as Biological Immune System: MC-4 as Cancer Detection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An organism is a bounded system with internal allocation rules. Resources (budget) flow to specialized subsystems (organs, cells). Each subsystem has a declared function and an allocated share of the organism's energy budget. Cancer is uncontrolled growth: one cell line grows without rebalancing the organism's portfolio.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In HUF-Org terms: Cancer is Deceptive Drift in biological form. One element (cancer cell) grows (ρᵢ increases) without a governance decision (no corresponding decrease in other elements' declared shares). The unity constraint is violated, invisible to passive observation until the cancer dominates.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MC-4 is the organism's immune system. It monitors whether element growth comes WITH portfolio rebalancing (intentional change) or WITHOUT (silent drift/cancer). The cancer test: Does |δρᵢ| increase without a corresponding rebalancing decision? Does the sum of all share changes exceed acceptable bounds?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Cancer test mathematical form: For each element i, compute |δρᵢ|. If this exceeds the quality factor's confidence bound Q⁻¹·ε without a decision record, flag as pathological growth. The viability test is Monte Carlo perturbation: perturb all elements within their observation error bounds, then recompute the system. If the system collapses under small perturbations, viability is compromised.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HUF-Org framework extends MC-4 to biological, economic, and governance systems. Any finite-budget system with declared priorities can be monitored. Cancer detection is the same in all domains: growth without declared reallocation. Viability testing is the same: can the system tolerate small random perturbations to share assignments?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Viability test procedure: (1) Perturb each ρᵢ by ±ε drawn from N(0, σ²) where σ is the observational error for element i. (2) Recompute system dynamics under perturbed shares. (3) If system state escapes acceptable bounds under perturbation, mark viability as COMPROMISED. (4) Repeat N_MC times. If &gt;k% of Monte Carlo trials fail, the system is fragile.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7. Machine Learning Regularization as MC-4: L2, Dropout, and Softmax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ANALYTIC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In machine learning, a neural network has many parameters (weights) that must be allocated to represent the training data. Without constraints, the network grows unbounded: each parameter absorbs more of the available model capacity, leading to overfitting—memorizing training data rather than learning generalizable patterns.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Overfitting in ML is Deceptive Drift in parameter space. One weight grows large (ρᵢ → 1) while others shrink (ρⱼ → 0), without a declared governance reason. The network's allocation drifts silently away from balanced representation toward narrow memorization.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Regularization is MC-4 in ML form. L2 weight decay (λ||θ||²) penalizes unconstrained parameter growth. It enforces that weights stay bounded—each weight must declare its allocation of model capacity. Dropout gates elements stochastically: if a weight grows too large, dropout cuts it off with probability p, forcing rebalancing.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L2 regularization: λ||θ||² adds a cost proportional to the squared magnitude of all weights. Large weights are penalized. This enforces declared bounds on parameter share. Dropout: each weight has gate probability p. If p=0.5, each weight is randomly silenced with 50% probability during training, preventing any single weight from dominating.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Softmax is the output unity constraint: Σσᵢ = 1.0. The network's final decision layer allocates total probability mass 1.0 across K possible classes. Each class gets a share σᵢ. The softmax enforces the probability simplex: all shares non-negative, sum to 1.0.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Validation loss divergence = Sufficiency Frontier crossing in ML terms. During training, loss on training data decreases (model learns). During overfitting, loss on validation data increases (memorization fails to generalize). This divergence signals that ρ allocation has drifted: model capacity is misallocated away from the true underlying pattern.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color w:val="333333"/>
                <w:sz w:val="20"/>
                <w:szCs w:val="20"/>
              </w:rPr>
              <w:t xml:space="preserve">The ML/MC-4 mapping is complete: (1) Parameter weights = budget elements; (2) L2 penalty = declared weight bounds; (3) Dropout = portfolio gating; (4) Softmax = unity constraint; (5) Validation divergence = Sufficiency Frontier breach = detection of Deceptive Drift in model capacity allocation.</w:t>
            </w:r>
          </w:p>
        </w:tc>
        <w:tc>
          <w:tcPr>
            <w:tcW w:type="dxa" w:w="4680"/>
            <w:tcBorders>
              <w:top w:val="none" w:sz="0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3333"/>
                <w:sz w:val="20"/>
                <w:szCs w:val="20"/>
              </w:rPr>
              <w:t xml:space="preserve">This mapping reveals that ML regularization IS MC-4 monitoring applied to neural networks. The "generalization" that ML practitioners seek is the same as the "ground state" that HUF seeks: all capacity drift declared, all rebalancing logged, system resilient to perturbation.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16. References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[1] A. Spellerberg, "Monitoring ecological change," 2nd ed. Cambridge University Press, 2005.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[2] D. Lindenmayer and G. Likens, "Effective ecological monitoring," CSIRO Publishing, 2010.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[3] E. Ostrom, "Governing the commons," Cambridge University Press, 1990.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[4] D. Luenberger, "Observing the state of a linear system," IEEE Trans. Mil. Electronics, 1964.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[5] E. Ostrom, "Polycentric systems for coping with collective action and global environmental change," Global Envir. Change, 20(4), 2010.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[6] P. Higgins, "The Sufficiency Frontier: Pillar 1 of the HUF Triad," 2026.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[7] P. Higgins, "HUF v1.2.0 Mathematical Foundations," Volume 3, 2026.</w:t>
      </w:r>
    </w:p>
    <w:p>
      <w:pPr>
        <w:spacing w:after="180" w:line="276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[8] ESA Planck Mission Operations, "Planck HFI Frequency Portfolio Analysis," External Validation Report,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2026-03-09T21:42:47.299Z</dcterms:created>
  <dcterms:modified xsi:type="dcterms:W3CDTF">2026-03-09T21:42:47.300Z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