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36"/>
          <w:szCs w:val="36"/>
        </w:rPr>
        <w:t xml:space="preserve">HIGGINS UNITY FRAMEWORK</w:t>
      </w:r>
    </w:p>
    <w:p>
      <w:pPr>
        <w:spacing w:after="600"/>
        <w:jc w:val="center"/>
      </w:pPr>
      <w:r>
        <w:rPr>
          <w:rFonts w:ascii="Times New Roman" w:cs="Times New Roman" w:eastAsia="Times New Roman" w:hAnsi="Times New Roman"/>
          <w:color w:val="2E75B6"/>
          <w:sz w:val="32"/>
          <w:szCs w:val="32"/>
        </w:rPr>
        <w:t xml:space="preserve">Where HUF Does Not Apply</w:t>
      </w:r>
    </w:p>
    <w:p>
      <w:pPr>
        <w:spacing w:after="100"/>
        <w:jc w:val="center"/>
      </w:pPr>
      <w:r>
        <w:rPr>
          <w:rFonts w:ascii="Times New Roman" w:cs="Times New Roman" w:eastAsia="Times New Roman" w:hAnsi="Times New Roman"/>
          <w:i/>
          <w:iCs/>
          <w:color w:val="333333"/>
          <w:sz w:val="24"/>
          <w:szCs w:val="24"/>
        </w:rPr>
        <w:t xml:space="preserve">Non-Applicability Analysis &amp; False-Positive Boundary Testing</w:t>
      </w:r>
    </w:p>
    <w:p>
      <w:pPr>
        <w:spacing w:before="800"/>
      </w:pPr>
    </w:p>
    <w:p>
      <w:pPr>
        <w:spacing w:after="100"/>
        <w:jc w:val="center"/>
      </w:pPr>
      <w:r>
        <w:rPr>
          <w:rFonts w:ascii="Times New Roman" w:cs="Times New Roman" w:eastAsia="Times New Roman" w:hAnsi="Times New Roman"/>
          <w:color w:val="333333"/>
          <w:sz w:val="22"/>
          <w:szCs w:val="22"/>
        </w:rPr>
        <w:t xml:space="preserve">Version 1.0</w:t>
      </w:r>
    </w:p>
    <w:p>
      <w:pPr>
        <w:spacing w:after="100"/>
        <w:jc w:val="center"/>
      </w:pPr>
      <w:r>
        <w:rPr>
          <w:rFonts w:ascii="Times New Roman" w:cs="Times New Roman" w:eastAsia="Times New Roman" w:hAnsi="Times New Roman"/>
          <w:color w:val="333333"/>
          <w:sz w:val="22"/>
          <w:szCs w:val="22"/>
        </w:rPr>
        <w:t xml:space="preserve">March 2026</w:t>
      </w:r>
    </w:p>
    <w:p>
      <w:pPr>
        <w:spacing w:after="100"/>
        <w:jc w:val="center"/>
      </w:pPr>
      <w:r>
        <w:rPr>
          <w:rFonts w:ascii="Times New Roman" w:cs="Times New Roman" w:eastAsia="Times New Roman" w:hAnsi="Times New Roman"/>
          <w:b/>
          <w:bCs/>
          <w:color w:val="333333"/>
          <w:sz w:val="22"/>
          <w:szCs w:val="22"/>
        </w:rPr>
        <w:t xml:space="preserve">Peter Higgins</w:t>
      </w:r>
    </w:p>
    <w:p>
      <w:pPr>
        <w:spacing w:after="100"/>
        <w:jc w:val="center"/>
      </w:pPr>
      <w:r>
        <w:rPr>
          <w:rFonts w:ascii="Times New Roman" w:cs="Times New Roman" w:eastAsia="Times New Roman" w:hAnsi="Times New Roman"/>
          <w:i/>
          <w:iCs/>
          <w:color w:val="2E75B6"/>
          <w:sz w:val="20"/>
          <w:szCs w:val="20"/>
        </w:rPr>
        <w:t xml:space="preserve">5-AI Collective Review Document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color w:val="1F3864"/>
          <w:sz w:val="28"/>
          <w:szCs w:val="28"/>
        </w:rPr>
        <w:t xml:space="preserve">1. Executive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identifies domains and systems where the Higgins Unity Framework (HUF) should not be applied. HUF operates on a foundational constraint: a set of ratio components summing to unity, monitored for drift via the Fourth Monitoring Category (MC-4). While this structure has broad applicability across bounded, conserved systems, it is not universal.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purpose of this analysis is threefold. First, it establishes intellectual honesty by explicitly delineating boundaries rather than claiming unbounded generality. Second, it provides a false-positive detection guide for practitioners who might incorrectly map HUF onto systems where the unity constraint is artificial. Third, it strengthens the framework by characterizing the exact structural properties that a system must possess for HUF to be validly applied.</w:t>
      </w:r>
    </w:p>
    <w:p>
      <w:pPr>
        <w:spacing w:after="160"/>
        <w:jc w:val="both"/>
      </w:pPr>
      <w:r>
        <w:rPr>
          <w:rFonts w:ascii="Times New Roman" w:cs="Times New Roman" w:eastAsia="Times New Roman" w:hAnsi="Times New Roman"/>
          <w:b/>
          <w:bCs/>
          <w:color w:val="333333"/>
          <w:sz w:val="22"/>
          <w:szCs w:val="22"/>
        </w:rPr>
        <w:t xml:space="preserve">Core finding: </w:t>
      </w:r>
      <w:r>
        <w:rPr>
          <w:rFonts w:ascii="Times New Roman" w:cs="Times New Roman" w:eastAsia="Times New Roman" w:hAnsi="Times New Roman"/>
          <w:color w:val="333333"/>
          <w:sz w:val="22"/>
          <w:szCs w:val="22"/>
        </w:rPr>
        <w:t xml:space="preserve">HUF fails when any of the following conditions hold: the system has no natural conservation law, the component count is unbounded or variable, the dynamics are fundamentally oscillatory or chaotic, hidden structural dependencies corrupt ratio independence, normalization destroys essential information, adversarial agents can game the ratio structure, quantum superposition violates classical ratio logic, or drift itself is the intended function rather than a failure signal.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catalogs eight failure categories comprising over forty specific domains. Each category includes the structural reason for failure, concrete examples, and the mechanism by which a false positive could arise and mislead a practitioner.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Purpose &amp; Methodology</w:t>
      </w:r>
    </w:p>
    <w:p>
      <w:pPr>
        <w:pStyle w:val="Heading2"/>
        <w:spacing w:after="160" w:before="280"/>
      </w:pPr>
      <w:r>
        <w:rPr>
          <w:rFonts w:ascii="Times New Roman" w:cs="Times New Roman" w:eastAsia="Times New Roman" w:hAnsi="Times New Roman"/>
          <w:b/>
          <w:bCs/>
          <w:color w:val="1F3864"/>
          <w:sz w:val="24"/>
          <w:szCs w:val="24"/>
        </w:rPr>
        <w:t xml:space="preserve">2.1 Why Boundary Testing Matters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Any framework that claims broad applicability must also specify where it does not apply. Without explicit boundary conditions, two risks emerge: practitioners apply HUF to inappropriate domains and draw incorrect conclusions, or critics dismiss the entire framework because they can identify a single invalid application. Both risks are eliminated by proactive boundary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(SF v3.6) establishes that HUF applies to systems where ratio components are bounded, conserved, and independently measurable. This document tests the negation: what happens when one or more of these preconditions fail?</w:t>
      </w:r>
    </w:p>
    <w:p>
      <w:pPr>
        <w:pStyle w:val="Heading2"/>
        <w:spacing w:after="160" w:before="280"/>
      </w:pPr>
      <w:r>
        <w:rPr>
          <w:rFonts w:ascii="Times New Roman" w:cs="Times New Roman" w:eastAsia="Times New Roman" w:hAnsi="Times New Roman"/>
          <w:b/>
          <w:bCs/>
          <w:color w:val="1F3864"/>
          <w:sz w:val="24"/>
          <w:szCs w:val="24"/>
        </w:rPr>
        <w:t xml:space="preserve">2.2 Methodology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candidate domain was evaluated against three structural tests: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Conservation test: </w:t>
      </w:r>
      <w:r>
        <w:rPr>
          <w:rFonts w:ascii="Times New Roman" w:cs="Times New Roman" w:eastAsia="Times New Roman" w:hAnsi="Times New Roman"/>
          <w:color w:val="333333"/>
          <w:sz w:val="22"/>
          <w:szCs w:val="22"/>
        </w:rPr>
        <w:t xml:space="preserve">Does the system have a natural quantity that sums to a fixed total (unity or otherwise)?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Boundedness test: </w:t>
      </w:r>
      <w:r>
        <w:rPr>
          <w:rFonts w:ascii="Times New Roman" w:cs="Times New Roman" w:eastAsia="Times New Roman" w:hAnsi="Times New Roman"/>
          <w:color w:val="333333"/>
          <w:sz w:val="22"/>
          <w:szCs w:val="22"/>
        </w:rPr>
        <w:t xml:space="preserve">Is the number of components finite and stable over the monitoring window?</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Independence test: </w:t>
      </w:r>
      <w:r>
        <w:rPr>
          <w:rFonts w:ascii="Times New Roman" w:cs="Times New Roman" w:eastAsia="Times New Roman" w:hAnsi="Times New Roman"/>
          <w:color w:val="333333"/>
          <w:sz w:val="22"/>
          <w:szCs w:val="22"/>
        </w:rPr>
        <w:t xml:space="preserve">Can individual ratio components be measured without systematically distorting other components?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domain fails HUF applicability if any one test yields a structural negative (not merely a practical measurement difficulty). The eight failure categories that follow represent distinct structural violations of these preconditions.</w:t>
      </w:r>
    </w:p>
    <w:p>
      <w:pPr>
        <w:spacing w:after="160" w:before="80"/>
      </w:pPr>
      <w:r>
        <w:rPr>
          <w:rFonts w:ascii="Times New Roman" w:cs="Times New Roman" w:eastAsia="Times New Roman" w:hAnsi="Times New Roman"/>
          <w:i/>
          <w:iCs/>
          <w:color w:val="2E75B6"/>
          <w:sz w:val="20"/>
          <w:szCs w:val="20"/>
        </w:rPr>
        <w:t xml:space="preserve">▶ See: HUF Sufficiency Frontier v3.6, Section 4 (Preconditions for Valid Application)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3. Failure Categories</w:t>
      </w:r>
    </w:p>
    <w:p>
      <w:pPr>
        <w:pStyle w:val="Heading2"/>
        <w:spacing w:after="160" w:before="280"/>
      </w:pPr>
      <w:r>
        <w:rPr>
          <w:rFonts w:ascii="Times New Roman" w:cs="Times New Roman" w:eastAsia="Times New Roman" w:hAnsi="Times New Roman"/>
          <w:b/>
          <w:bCs/>
          <w:color w:val="1F3864"/>
          <w:sz w:val="24"/>
          <w:szCs w:val="24"/>
        </w:rPr>
        <w:t xml:space="preserve">3.1 FC-1: Artificial Unity Constraint</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No natural conservation law exists. The system has no inherent reason for components to sum to unity; any normalization is imposed externally and carries no physical or structural meaning.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most fundamental failure mode. HUF requires that the unity constraint arises from the system itself, not from a statistical convenience applied by the analyst. When normalization is artificial, drift signals become meaningless because the baseline was never structurally determined.</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Personality psychology (Big Five, MBTI): </w:t>
      </w:r>
      <w:r>
        <w:rPr>
          <w:rFonts w:ascii="Times New Roman" w:cs="Times New Roman" w:eastAsia="Times New Roman" w:hAnsi="Times New Roman"/>
          <w:color w:val="333333"/>
          <w:sz w:val="22"/>
          <w:szCs w:val="22"/>
        </w:rPr>
        <w:t xml:space="preserve">Trait scores are independently measured on separate scales. Normalizing them to sum to 1.0 creates an artificial zero-sum tradeoff that does not exist in the underlying neuroscience. Increasing extraversion does not require decreasing conscientiousness.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Happiness and well-being indices: </w:t>
      </w:r>
      <w:r>
        <w:rPr>
          <w:rFonts w:ascii="Times New Roman" w:cs="Times New Roman" w:eastAsia="Times New Roman" w:hAnsi="Times New Roman"/>
          <w:color w:val="333333"/>
          <w:sz w:val="22"/>
          <w:szCs w:val="22"/>
        </w:rPr>
        <w:t xml:space="preserve">Components such as income, health, social connection, and purpose are independently variable. The World Happiness Report combines them via weighted addition, but there is no conservation law constraining their total.</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Customer satisfaction surveys: </w:t>
      </w:r>
      <w:r>
        <w:rPr>
          <w:rFonts w:ascii="Times New Roman" w:cs="Times New Roman" w:eastAsia="Times New Roman" w:hAnsi="Times New Roman"/>
          <w:color w:val="333333"/>
          <w:sz w:val="22"/>
          <w:szCs w:val="22"/>
        </w:rPr>
        <w:t xml:space="preserve">Likert-scale responses across dimensions (product quality, service speed, price fairness) are independent. Normalizing them forces artificial tradeoffs and creates phantom drift signals.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Creativity metrics: </w:t>
      </w:r>
      <w:r>
        <w:rPr>
          <w:rFonts w:ascii="Times New Roman" w:cs="Times New Roman" w:eastAsia="Times New Roman" w:hAnsi="Times New Roman"/>
          <w:color w:val="333333"/>
          <w:sz w:val="22"/>
          <w:szCs w:val="22"/>
        </w:rPr>
        <w:t xml:space="preserve">Divergent thinking, originality, and elaboration scores have no natural sum. Normalizing them would incorrectly imply that increasing originality requires decreasing elaboration.</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Pain scales and symptom inventories: </w:t>
      </w:r>
      <w:r>
        <w:rPr>
          <w:rFonts w:ascii="Times New Roman" w:cs="Times New Roman" w:eastAsia="Times New Roman" w:hAnsi="Times New Roman"/>
          <w:color w:val="333333"/>
          <w:sz w:val="22"/>
          <w:szCs w:val="22"/>
        </w:rPr>
        <w:t xml:space="preserve">Clinical pain measurements across body regions are independent. Total pain is unbounded and has no conservation constraint.</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An analyst normalizes Big Five scores for a team, observes apparent "drift" in the Agreeableness ratio over time, and concludes the team culture is degrading. In reality, the drift is an artifact of the normalization: individual trait scores changed independently, and the ratio movement is a mathematical consequence of dividing by a moving denominator with no structural meaning.</w:t>
      </w:r>
    </w:p>
    <w:p>
      <w:pPr>
        <w:spacing w:after="160" w:before="80"/>
      </w:pPr>
      <w:r>
        <w:rPr>
          <w:rFonts w:ascii="Times New Roman" w:cs="Times New Roman" w:eastAsia="Times New Roman" w:hAnsi="Times New Roman"/>
          <w:i/>
          <w:iCs/>
          <w:color w:val="2E75B6"/>
          <w:sz w:val="20"/>
          <w:szCs w:val="20"/>
        </w:rPr>
        <w:t xml:space="preserve">▶ See: HUF Sufficiency Frontier v3.6, Definition 2.1 (Natural Unity Constraint)</w:t>
      </w:r>
    </w:p>
    <w:p>
      <w:pPr>
        <w:pStyle w:val="Heading2"/>
        <w:spacing w:after="160" w:before="280"/>
      </w:pPr>
      <w:r>
        <w:rPr>
          <w:rFonts w:ascii="Times New Roman" w:cs="Times New Roman" w:eastAsia="Times New Roman" w:hAnsi="Times New Roman"/>
          <w:b/>
          <w:bCs/>
          <w:color w:val="1F3864"/>
          <w:sz w:val="24"/>
          <w:szCs w:val="24"/>
        </w:rPr>
        <w:t xml:space="preserve">3.2 FC-2: Open or Unbounded Systems</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The total K in the unity constraint is not conserved. New components can enter or exit the system without bound, making the denominator of the ratio portfolio unstable and undefined over time.</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Internet/network traffic analysis: </w:t>
      </w:r>
      <w:r>
        <w:rPr>
          <w:rFonts w:ascii="Times New Roman" w:cs="Times New Roman" w:eastAsia="Times New Roman" w:hAnsi="Times New Roman"/>
          <w:color w:val="333333"/>
          <w:sz w:val="22"/>
          <w:szCs w:val="22"/>
        </w:rPr>
        <w:t xml:space="preserve">New nodes, protocols, and routes appear continuously. The "total" is unbounded and cannot serve as a meaningful denominator. Apparent ratio stability may mask explosive growth in one channel offset by equally explosive growth in another.</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Language evolution and vocabulary drift: </w:t>
      </w:r>
      <w:r>
        <w:rPr>
          <w:rFonts w:ascii="Times New Roman" w:cs="Times New Roman" w:eastAsia="Times New Roman" w:hAnsi="Times New Roman"/>
          <w:color w:val="333333"/>
          <w:sz w:val="22"/>
          <w:szCs w:val="22"/>
        </w:rPr>
        <w:t xml:space="preserve">New words are continuously coined, borrowed, and retired. The vocabulary set has no fixed cardinality, so frequency ratios against "total vocabulary" shift with every new addition.</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Biodiversity in open ecosystems: </w:t>
      </w:r>
      <w:r>
        <w:rPr>
          <w:rFonts w:ascii="Times New Roman" w:cs="Times New Roman" w:eastAsia="Times New Roman" w:hAnsi="Times New Roman"/>
          <w:color w:val="333333"/>
          <w:sz w:val="22"/>
          <w:szCs w:val="22"/>
        </w:rPr>
        <w:t xml:space="preserve">Migration, speciation, and extinction continuously alter the species set. A ratio portfolio of species proportions would require re-baselining after every migration event.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Social media engagement metrics: </w:t>
      </w:r>
      <w:r>
        <w:rPr>
          <w:rFonts w:ascii="Times New Roman" w:cs="Times New Roman" w:eastAsia="Times New Roman" w:hAnsi="Times New Roman"/>
          <w:color w:val="333333"/>
          <w:sz w:val="22"/>
          <w:szCs w:val="22"/>
        </w:rPr>
        <w:t xml:space="preserve">New platforms emerge, existing platforms change algorithms, and user behavior shifts across an unbounded set of channels. No conservation law governs total attention.</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Innovation and patent landscapes: </w:t>
      </w:r>
      <w:r>
        <w:rPr>
          <w:rFonts w:ascii="Times New Roman" w:cs="Times New Roman" w:eastAsia="Times New Roman" w:hAnsi="Times New Roman"/>
          <w:color w:val="333333"/>
          <w:sz w:val="22"/>
          <w:szCs w:val="22"/>
        </w:rPr>
        <w:t xml:space="preserve">Technology domains expand without bound. Measuring the "ratio of AI patents to total patents" fails because "total patents" grows at different rates in different regimes.</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An analyst tracks the ratio of TCP to total network traffic and observes a "drift" toward UDP. This could indicate a real architectural shift, but it could also be an artifact of new protocols (QUIC, WebRTC) being categorized differently. The denominator instability makes the drift signal uninterpretable within HUF.</w:t>
      </w:r>
    </w:p>
    <w:p>
      <w:pPr>
        <w:spacing w:after="160" w:before="80"/>
      </w:pPr>
      <w:r>
        <w:rPr>
          <w:rFonts w:ascii="Times New Roman" w:cs="Times New Roman" w:eastAsia="Times New Roman" w:hAnsi="Times New Roman"/>
          <w:i/>
          <w:iCs/>
          <w:color w:val="2E75B6"/>
          <w:sz w:val="20"/>
          <w:szCs w:val="20"/>
        </w:rPr>
        <w:t xml:space="preserve">▶ See: HUF Fourth Category v2.6, Section 3.2 (Closed vs. Open System Boundaries)</w:t>
      </w:r>
    </w:p>
    <w:p>
      <w:pPr>
        <w:pStyle w:val="Heading2"/>
        <w:spacing w:after="160" w:before="280"/>
      </w:pPr>
      <w:r>
        <w:rPr>
          <w:rFonts w:ascii="Times New Roman" w:cs="Times New Roman" w:eastAsia="Times New Roman" w:hAnsi="Times New Roman"/>
          <w:b/>
          <w:bCs/>
          <w:color w:val="1F3864"/>
          <w:sz w:val="24"/>
          <w:szCs w:val="24"/>
        </w:rPr>
        <w:t xml:space="preserve">3.3 FC-3: Oscillatory and Chaotic Dynamics</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The system has natural oscillation or deterministic chaos. Drift is the normal operating mode, not a failure signal. MC-4 would fire continuously, generating meaningless alerts.</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Predator-prey ecosystems (Lotka-Volterra): </w:t>
      </w:r>
      <w:r>
        <w:rPr>
          <w:rFonts w:ascii="Times New Roman" w:cs="Times New Roman" w:eastAsia="Times New Roman" w:hAnsi="Times New Roman"/>
          <w:color w:val="333333"/>
          <w:sz w:val="22"/>
          <w:szCs w:val="22"/>
        </w:rPr>
        <w:t xml:space="preserve">Population ratios oscillate by design. Fox/rabbit ratios cycle with a period determined by birth and death rates. Applying MC-4 would flag every half-cycle as a "drift event."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Cardiac and respiratory rhythms: </w:t>
      </w:r>
      <w:r>
        <w:rPr>
          <w:rFonts w:ascii="Times New Roman" w:cs="Times New Roman" w:eastAsia="Times New Roman" w:hAnsi="Times New Roman"/>
          <w:color w:val="333333"/>
          <w:sz w:val="22"/>
          <w:szCs w:val="22"/>
        </w:rPr>
        <w:t xml:space="preserve">Heart rate variability, respiratory sinus arrhythmia, and circadian hormone cycles are fundamentally oscillatory. The ratio of sympathetic to parasympathetic tone cycles continuously and is supposed to do so.</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Business cycles and economic oscillation: </w:t>
      </w:r>
      <w:r>
        <w:rPr>
          <w:rFonts w:ascii="Times New Roman" w:cs="Times New Roman" w:eastAsia="Times New Roman" w:hAnsi="Times New Roman"/>
          <w:color w:val="333333"/>
          <w:sz w:val="22"/>
          <w:szCs w:val="22"/>
        </w:rPr>
        <w:t xml:space="preserve">Expansion/contraction phases in GDP components represent structural oscillation, not drift failure. Investment-to-consumption ratios swing with the cycle.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Weather and atmospheric dynamics: </w:t>
      </w:r>
      <w:r>
        <w:rPr>
          <w:rFonts w:ascii="Times New Roman" w:cs="Times New Roman" w:eastAsia="Times New Roman" w:hAnsi="Times New Roman"/>
          <w:color w:val="333333"/>
          <w:sz w:val="22"/>
          <w:szCs w:val="22"/>
        </w:rPr>
        <w:t xml:space="preserve">Temperature, pressure, and humidity ratios are chaotic in the strict mathematical sense (sensitive dependence on initial conditions). No steady-state baseline exists.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Tidal and orbital mechanics: </w:t>
      </w:r>
      <w:r>
        <w:rPr>
          <w:rFonts w:ascii="Times New Roman" w:cs="Times New Roman" w:eastAsia="Times New Roman" w:hAnsi="Times New Roman"/>
          <w:color w:val="333333"/>
          <w:sz w:val="22"/>
          <w:szCs w:val="22"/>
        </w:rPr>
        <w:t xml:space="preserve">Gravitational systems produce periodic and quasi-periodic motion. Ratios of kinetic to potential energy oscillate by design.</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Neural oscillation (EEG band ratios): </w:t>
      </w:r>
      <w:r>
        <w:rPr>
          <w:rFonts w:ascii="Times New Roman" w:cs="Times New Roman" w:eastAsia="Times New Roman" w:hAnsi="Times New Roman"/>
          <w:color w:val="333333"/>
          <w:sz w:val="22"/>
          <w:szCs w:val="22"/>
        </w:rPr>
        <w:t xml:space="preserve">Alpha/beta/theta band power ratios shift continuously during sleep, attention, and cognitive load. These shifts are functional, not pathological.</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 wildlife manager applies HUF to predator-prey ratios in a park ecosystem. MC-4 flags a "critical drift event" when the wolf population surges relative to elk. In reality, this is the natural upswing of a Lotka-Volterra cycle. The manager initiates an unnecessary culling program based on a framework misapplication.</w:t>
      </w:r>
    </w:p>
    <w:p>
      <w:pPr>
        <w:spacing w:after="160" w:before="80"/>
      </w:pPr>
      <w:r>
        <w:rPr>
          <w:rFonts w:ascii="Times New Roman" w:cs="Times New Roman" w:eastAsia="Times New Roman" w:hAnsi="Times New Roman"/>
          <w:i/>
          <w:iCs/>
          <w:color w:val="2E75B6"/>
          <w:sz w:val="20"/>
          <w:szCs w:val="20"/>
        </w:rPr>
        <w:t xml:space="preserve">▶ See: HUF Collective Trace v5.10, Appendix B (Stationarity Assumptions)</w:t>
      </w:r>
    </w:p>
    <w:p>
      <w:pPr>
        <w:pStyle w:val="Heading2"/>
        <w:spacing w:after="160" w:before="280"/>
      </w:pPr>
      <w:r>
        <w:rPr>
          <w:rFonts w:ascii="Times New Roman" w:cs="Times New Roman" w:eastAsia="Times New Roman" w:hAnsi="Times New Roman"/>
          <w:b/>
          <w:bCs/>
          <w:color w:val="1F3864"/>
          <w:sz w:val="24"/>
          <w:szCs w:val="24"/>
        </w:rPr>
        <w:t xml:space="preserve">3.4 FC-4: Hidden Structural Dependencies</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Ratio components are not independently measurable. Hidden correlations, feedback loops, or confounding variables mean that measuring one component systematically distorts others, violating the independence precondition.</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Microbiome composition: </w:t>
      </w:r>
      <w:r>
        <w:rPr>
          <w:rFonts w:ascii="Times New Roman" w:cs="Times New Roman" w:eastAsia="Times New Roman" w:hAnsi="Times New Roman"/>
          <w:color w:val="333333"/>
          <w:sz w:val="22"/>
          <w:szCs w:val="22"/>
        </w:rPr>
        <w:t xml:space="preserve">Gut bacteria species interact through metabolic cross-feeding, quorum sensing, and competitive exclusion. Measuring the proportion of one species is not independent of others because they are mechanistically coupled.</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Gene regulatory networks: </w:t>
      </w:r>
      <w:r>
        <w:rPr>
          <w:rFonts w:ascii="Times New Roman" w:cs="Times New Roman" w:eastAsia="Times New Roman" w:hAnsi="Times New Roman"/>
          <w:color w:val="333333"/>
          <w:sz w:val="22"/>
          <w:szCs w:val="22"/>
        </w:rPr>
        <w:t xml:space="preserve">Transcription factor ratios are governed by feedback loops (enhancers, repressors, epigenetic modifications). A single gene can regulate hundreds of downstream targets, creating hidden dependencies that make ratio-based monitoring structurally misleading.</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Immune system cell ratios: </w:t>
      </w:r>
      <w:r>
        <w:rPr>
          <w:rFonts w:ascii="Times New Roman" w:cs="Times New Roman" w:eastAsia="Times New Roman" w:hAnsi="Times New Roman"/>
          <w:color w:val="333333"/>
          <w:sz w:val="22"/>
          <w:szCs w:val="22"/>
        </w:rPr>
        <w:t xml:space="preserve">T-cell, B-cell, and macrophage populations are linked through cytokine signaling cascades. A shift in one population triggers compensatory or amplifying responses in others through mechanisms invisible to a simple ratio monitor.</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Financial derivatives and structured products: </w:t>
      </w:r>
      <w:r>
        <w:rPr>
          <w:rFonts w:ascii="Times New Roman" w:cs="Times New Roman" w:eastAsia="Times New Roman" w:hAnsi="Times New Roman"/>
          <w:color w:val="333333"/>
          <w:sz w:val="22"/>
          <w:szCs w:val="22"/>
        </w:rPr>
        <w:t xml:space="preserve">Portfolio component values are linked through hidden correlations (counterparty risk, collateral chains, rehypothecation). The 2008 crisis demonstrated that apparently diversified ratio portfolios concealed catastrophic systemic dependencies.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Soil chemistry: </w:t>
      </w:r>
      <w:r>
        <w:rPr>
          <w:rFonts w:ascii="Times New Roman" w:cs="Times New Roman" w:eastAsia="Times New Roman" w:hAnsi="Times New Roman"/>
          <w:color w:val="333333"/>
          <w:sz w:val="22"/>
          <w:szCs w:val="22"/>
        </w:rPr>
        <w:t xml:space="preserve">Nutrient ratios (N/P/K) are coupled through pH-dependent solubility, microbial processing, and plant uptake. Measuring nitrogen availability changes the effective availability of phosphorus through pH interaction.</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 biotech firm applies HUF to monitor microbiome health as a ratio portfolio of bacterial phyla. The ratios appear stable for months, suggesting system health. In reality, a pathogenic species is growing within a phylum, masked by compensatory shifts in commensal species within the same phylum. The ratio-level monitoring misses the intra-category dynamics entirely.</w:t>
      </w:r>
    </w:p>
    <w:p>
      <w:pPr>
        <w:spacing w:after="160" w:before="80"/>
      </w:pPr>
      <w:r>
        <w:rPr>
          <w:rFonts w:ascii="Times New Roman" w:cs="Times New Roman" w:eastAsia="Times New Roman" w:hAnsi="Times New Roman"/>
          <w:i/>
          <w:iCs/>
          <w:color w:val="2E75B6"/>
          <w:sz w:val="20"/>
          <w:szCs w:val="20"/>
        </w:rPr>
        <w:t xml:space="preserve">▶ See: HUF Sufficiency Frontier v3.6, Theorem 3.1 (Independence Requirement)</w:t>
      </w:r>
    </w:p>
    <w:p>
      <w:pPr>
        <w:pStyle w:val="Heading2"/>
        <w:spacing w:after="160" w:before="280"/>
      </w:pPr>
      <w:r>
        <w:rPr>
          <w:rFonts w:ascii="Times New Roman" w:cs="Times New Roman" w:eastAsia="Times New Roman" w:hAnsi="Times New Roman"/>
          <w:b/>
          <w:bCs/>
          <w:color w:val="1F3864"/>
          <w:sz w:val="24"/>
          <w:szCs w:val="24"/>
        </w:rPr>
        <w:t xml:space="preserve">3.5 FC-5: Normalization Destroys Information</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The absolute magnitudes carry essential information that is lost when converting to ratios. A system where a 50/50 split at magnitude 1,000 is fundamentally different from a 50/50 split at magnitude 10 cannot be monitored by ratios alone.</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Seismology and earthquake monitoring: </w:t>
      </w:r>
      <w:r>
        <w:rPr>
          <w:rFonts w:ascii="Times New Roman" w:cs="Times New Roman" w:eastAsia="Times New Roman" w:hAnsi="Times New Roman"/>
          <w:color w:val="333333"/>
          <w:sz w:val="22"/>
          <w:szCs w:val="22"/>
        </w:rPr>
        <w:t xml:space="preserve">A magnitude 7.0 earthquake releasing 95% of total seismic energy in a region is categorically different from a magnitude 2.0 event with the same 95% ratio. Normalizing to ratios discards the logarithmic energy scale that defines earthquake severity.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Radiation dosimetry: </w:t>
      </w:r>
      <w:r>
        <w:rPr>
          <w:rFonts w:ascii="Times New Roman" w:cs="Times New Roman" w:eastAsia="Times New Roman" w:hAnsi="Times New Roman"/>
          <w:color w:val="333333"/>
          <w:sz w:val="22"/>
          <w:szCs w:val="22"/>
        </w:rPr>
        <w:t xml:space="preserve">A tissue receiving 50% alpha and 50% gamma radiation at 1 mSv total is in a fundamentally different situation from the same ratio at 10 Sv. The biological effect is determined by absolute dose, not by the ratio of radiation types.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Emergency room triage: </w:t>
      </w:r>
      <w:r>
        <w:rPr>
          <w:rFonts w:ascii="Times New Roman" w:cs="Times New Roman" w:eastAsia="Times New Roman" w:hAnsi="Times New Roman"/>
          <w:color w:val="333333"/>
          <w:sz w:val="22"/>
          <w:szCs w:val="22"/>
        </w:rPr>
        <w:t xml:space="preserve">A hospital where 30% of patients are critical with 10 total patients is categorically different from 30% critical with 500 total patients. Ratio monitoring would report the same value while the absolute demand on resources differs by 50x.</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Volcanic eruption monitoring: </w:t>
      </w:r>
      <w:r>
        <w:rPr>
          <w:rFonts w:ascii="Times New Roman" w:cs="Times New Roman" w:eastAsia="Times New Roman" w:hAnsi="Times New Roman"/>
          <w:color w:val="333333"/>
          <w:sz w:val="22"/>
          <w:szCs w:val="22"/>
        </w:rPr>
        <w:t xml:space="preserve">Gas emission ratios (SO2/CO2) are used in volcanology, but the absolute emission rate determines evacuation decisions. A stable ratio during exponentially increasing total emissions would be catastrophically misleading.</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Toxicology and drug interactions: </w:t>
      </w:r>
      <w:r>
        <w:rPr>
          <w:rFonts w:ascii="Times New Roman" w:cs="Times New Roman" w:eastAsia="Times New Roman" w:hAnsi="Times New Roman"/>
          <w:color w:val="333333"/>
          <w:sz w:val="22"/>
          <w:szCs w:val="22"/>
        </w:rPr>
        <w:t xml:space="preserve">The ratio of two drugs in a patient system matters less than the absolute concentrations. A 1:1 ratio at therapeutic levels is safe; the same 1:1 ratio at 10x concentration may be lethal.</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 seismic monitoring station applies HUF to track the ratio of P-wave to S-wave energy across regional events. The ratios remain stable within OCC 51/49 bounds. Meanwhile, the absolute energy levels increase by three orders of magnitude leading up to a major earthquake. The ratio-based system reports "no drift detected" while the absolute-magnitude signal screams danger.</w:t>
      </w:r>
    </w:p>
    <w:p>
      <w:pPr>
        <w:spacing w:after="160" w:before="80"/>
      </w:pPr>
      <w:r>
        <w:rPr>
          <w:rFonts w:ascii="Times New Roman" w:cs="Times New Roman" w:eastAsia="Times New Roman" w:hAnsi="Times New Roman"/>
          <w:i/>
          <w:iCs/>
          <w:color w:val="2E75B6"/>
          <w:sz w:val="20"/>
          <w:szCs w:val="20"/>
        </w:rPr>
        <w:t xml:space="preserve">▶ See: HUF Fourth Category v2.6, Section 5.1 (When Ratios Are Insufficient)</w:t>
      </w:r>
    </w:p>
    <w:p>
      <w:pPr>
        <w:pStyle w:val="Heading2"/>
        <w:spacing w:after="160" w:before="280"/>
      </w:pPr>
      <w:r>
        <w:rPr>
          <w:rFonts w:ascii="Times New Roman" w:cs="Times New Roman" w:eastAsia="Times New Roman" w:hAnsi="Times New Roman"/>
          <w:b/>
          <w:bCs/>
          <w:color w:val="1F3864"/>
          <w:sz w:val="24"/>
          <w:szCs w:val="24"/>
        </w:rPr>
        <w:t xml:space="preserve">3.6 FC-6: Adversarial Exploitation</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Intelligent agents can observe and game the ratio structure. When actors know the monitoring framework, they can strategically adjust their behavior to maintain favorable ratios while shifting value extraction to dimensions the framework does not capture.</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Algorithmic trading and market manipulation: </w:t>
      </w:r>
      <w:r>
        <w:rPr>
          <w:rFonts w:ascii="Times New Roman" w:cs="Times New Roman" w:eastAsia="Times New Roman" w:hAnsi="Times New Roman"/>
          <w:color w:val="333333"/>
          <w:sz w:val="22"/>
          <w:szCs w:val="22"/>
        </w:rPr>
        <w:t xml:space="preserve">Traders who know a regulatory body monitors sector allocation ratios can shift positions through derivatives, SPVs, or cross-border entities that maintain superficial ratio compliance while concentrating actual risk.</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Academic citation and impact metrics: </w:t>
      </w:r>
      <w:r>
        <w:rPr>
          <w:rFonts w:ascii="Times New Roman" w:cs="Times New Roman" w:eastAsia="Times New Roman" w:hAnsi="Times New Roman"/>
          <w:color w:val="333333"/>
          <w:sz w:val="22"/>
          <w:szCs w:val="22"/>
        </w:rPr>
        <w:t xml:space="preserve">Researchers who know their institution monitors citation ratios can form citation cartels, self-cite strategically, or publish in journals that inflate particular metrics. The Goodhart effect operates directly on the ratio structure.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Corporate ESG and sustainability reporting: </w:t>
      </w:r>
      <w:r>
        <w:rPr>
          <w:rFonts w:ascii="Times New Roman" w:cs="Times New Roman" w:eastAsia="Times New Roman" w:hAnsi="Times New Roman"/>
          <w:color w:val="333333"/>
          <w:sz w:val="22"/>
          <w:szCs w:val="22"/>
        </w:rPr>
        <w:t xml:space="preserve">Companies that know ESG ratios are monitored can reallocate reporting boundaries to improve ratios without changing actual environmental impact. Carbon intensity ratios can be "improved" by divesting carbon-heavy divisions rather than reducing emissions.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Political polling and approval ratios: </w:t>
      </w:r>
      <w:r>
        <w:rPr>
          <w:rFonts w:ascii="Times New Roman" w:cs="Times New Roman" w:eastAsia="Times New Roman" w:hAnsi="Times New Roman"/>
          <w:color w:val="333333"/>
          <w:sz w:val="22"/>
          <w:szCs w:val="22"/>
        </w:rPr>
        <w:t xml:space="preserve">Political actors who understand approval ratio monitoring can engage in strategic framing, question wording manipulation, and sample selection to maintain ratio stability while underlying sentiment shifts.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Educational testing and grade distributions: </w:t>
      </w:r>
      <w:r>
        <w:rPr>
          <w:rFonts w:ascii="Times New Roman" w:cs="Times New Roman" w:eastAsia="Times New Roman" w:hAnsi="Times New Roman"/>
          <w:color w:val="333333"/>
          <w:sz w:val="22"/>
          <w:szCs w:val="22"/>
        </w:rPr>
        <w:t xml:space="preserve">Teachers who know their performance is measured by grade distribution ratios can adjust difficulty, curve grades, or coach to the test to maintain target distributions without changing actual learning outcomes.</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 regulatory body applies HUF to monitor bank capital adequacy ratios. The banks, knowing the exact ratio structure being monitored, maintain compliant ratios by moving risk off-balance-sheet through special purpose vehicles. MC-4 reports stable ratios and zero drift, while actual systemic risk concentrates in the shadow banking sector that the ratio framework does not capture.</w:t>
      </w:r>
    </w:p>
    <w:p>
      <w:pPr>
        <w:spacing w:after="160" w:before="80"/>
      </w:pPr>
      <w:r>
        <w:rPr>
          <w:rFonts w:ascii="Times New Roman" w:cs="Times New Roman" w:eastAsia="Times New Roman" w:hAnsi="Times New Roman"/>
          <w:i/>
          <w:iCs/>
          <w:color w:val="2E75B6"/>
          <w:sz w:val="20"/>
          <w:szCs w:val="20"/>
        </w:rPr>
        <w:t xml:space="preserve">▶ See: HUF Fourth Category v2.6, FM-6 (Adversarial Goodhart Manipulation)</w:t>
      </w:r>
    </w:p>
    <w:p>
      <w:pPr>
        <w:pStyle w:val="Heading2"/>
        <w:spacing w:after="160" w:before="280"/>
      </w:pPr>
      <w:r>
        <w:rPr>
          <w:rFonts w:ascii="Times New Roman" w:cs="Times New Roman" w:eastAsia="Times New Roman" w:hAnsi="Times New Roman"/>
          <w:b/>
          <w:bCs/>
          <w:color w:val="1F3864"/>
          <w:sz w:val="24"/>
          <w:szCs w:val="24"/>
        </w:rPr>
        <w:t xml:space="preserve">3.7 FC-7: Quantum and Discrete-State Systems</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The system operates under quantum superposition or has fundamentally discrete states that do not admit continuous ratio representation. Classical ratio logic assumes definite values at each measurement point; quantum systems violate this assumption at the structural level.</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Quantum computing state allocation: </w:t>
      </w:r>
      <w:r>
        <w:rPr>
          <w:rFonts w:ascii="Times New Roman" w:cs="Times New Roman" w:eastAsia="Times New Roman" w:hAnsi="Times New Roman"/>
          <w:color w:val="333333"/>
          <w:sz w:val="22"/>
          <w:szCs w:val="22"/>
        </w:rPr>
        <w:t xml:space="preserve">Qubit states exist in superposition until measured. A "ratio" of |0&gt; to |1&gt; states is not defined prior to measurement, and measurement itself collapses the superposition. The pre-measurement state cannot be characterized as a ratio portfolio.</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Quantum chemistry (electron orbital occupancy): </w:t>
      </w:r>
      <w:r>
        <w:rPr>
          <w:rFonts w:ascii="Times New Roman" w:cs="Times New Roman" w:eastAsia="Times New Roman" w:hAnsi="Times New Roman"/>
          <w:color w:val="333333"/>
          <w:sz w:val="22"/>
          <w:szCs w:val="22"/>
        </w:rPr>
        <w:t xml:space="preserve">Electron occupation of orbitals follows quantum statistics (Fermi-Dirac), not classical ratios. Fractional occupancy numbers represent probability amplitudes, not divisible quantities.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Cryptographic key spaces: </w:t>
      </w:r>
      <w:r>
        <w:rPr>
          <w:rFonts w:ascii="Times New Roman" w:cs="Times New Roman" w:eastAsia="Times New Roman" w:hAnsi="Times New Roman"/>
          <w:color w:val="333333"/>
          <w:sz w:val="22"/>
          <w:szCs w:val="22"/>
        </w:rPr>
        <w:t xml:space="preserve">A key is either correct or incorrect; there is no meaningful ratio between "partial correctness" of different key candidates. The state space is fundamentally discrete and non-orderable.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Boolean logic circuits: </w:t>
      </w:r>
      <w:r>
        <w:rPr>
          <w:rFonts w:ascii="Times New Roman" w:cs="Times New Roman" w:eastAsia="Times New Roman" w:hAnsi="Times New Roman"/>
          <w:color w:val="333333"/>
          <w:sz w:val="22"/>
          <w:szCs w:val="22"/>
        </w:rPr>
        <w:t xml:space="preserve">Digital logic states are binary (0/1) by design. Ratio monitoring of a circuit state space would either be trivially binary or would require analog measurements that contradict the circuit purpose.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Particle physics decay channels: </w:t>
      </w:r>
      <w:r>
        <w:rPr>
          <w:rFonts w:ascii="Times New Roman" w:cs="Times New Roman" w:eastAsia="Times New Roman" w:hAnsi="Times New Roman"/>
          <w:color w:val="333333"/>
          <w:sz w:val="22"/>
          <w:szCs w:val="22"/>
        </w:rPr>
        <w:t xml:space="preserve">Branching ratios in particle decay are governed by quantum field theory and are not "drifting" in any meaningful sense. They are constants of nature (to the precision of the Standard Model) or statistical artifacts of finite detection.</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 quantum computing lab applies HUF to monitor qubit allocation across computational registers. They observe "drift" in the ratio of qubits assigned to error correction versus computation. The apparent drift is actually an artifact of the measurement basis choice: different measurement bases produce different apparent ratios from the same underlying quantum state. The framework is structurally inapplicable to superposition states.</w:t>
      </w:r>
    </w:p>
    <w:p>
      <w:pPr>
        <w:spacing w:after="160" w:before="80"/>
      </w:pPr>
      <w:r>
        <w:rPr>
          <w:rFonts w:ascii="Times New Roman" w:cs="Times New Roman" w:eastAsia="Times New Roman" w:hAnsi="Times New Roman"/>
          <w:i/>
          <w:iCs/>
          <w:color w:val="2E75B6"/>
          <w:sz w:val="20"/>
          <w:szCs w:val="20"/>
        </w:rPr>
        <w:t xml:space="preserve">▶ See: HUF Sufficiency Frontier v3.6, Assumption A.1 (Classical Measurement)</w:t>
      </w:r>
    </w:p>
    <w:p>
      <w:pPr>
        <w:pStyle w:val="Heading2"/>
        <w:spacing w:after="160" w:before="280"/>
      </w:pPr>
      <w:r>
        <w:rPr>
          <w:rFonts w:ascii="Times New Roman" w:cs="Times New Roman" w:eastAsia="Times New Roman" w:hAnsi="Times New Roman"/>
          <w:b/>
          <w:bCs/>
          <w:color w:val="1F3864"/>
          <w:sz w:val="24"/>
          <w:szCs w:val="24"/>
        </w:rPr>
        <w:t xml:space="preserve">3.8 FC-8: Drift-as-Function Systems</w:t>
      </w:r>
    </w:p>
    <w:p>
      <w:pPr>
        <w:spacing w:after="160"/>
        <w:jc w:val="both"/>
      </w:pPr>
      <w:r>
        <w:rPr>
          <w:rFonts w:ascii="Times New Roman" w:cs="Times New Roman" w:eastAsia="Times New Roman" w:hAnsi="Times New Roman"/>
          <w:b/>
          <w:bCs/>
          <w:color w:val="333333"/>
          <w:sz w:val="22"/>
          <w:szCs w:val="22"/>
        </w:rPr>
        <w:t xml:space="preserve">Structural violation: </w:t>
      </w:r>
      <w:r>
        <w:rPr>
          <w:rFonts w:ascii="Times New Roman" w:cs="Times New Roman" w:eastAsia="Times New Roman" w:hAnsi="Times New Roman"/>
          <w:color w:val="333333"/>
          <w:sz w:val="22"/>
          <w:szCs w:val="22"/>
        </w:rPr>
        <w:t xml:space="preserve">Continuous directional change in ratios is the intended system behavior, not a failure mode. HUF treats drift as something to detect and respond to, but some systems are designed to drift. Applying MC-4 to these systems generates a continuous stream of "alerts" for normal operation.</w:t>
      </w:r>
    </w:p>
    <w:p>
      <w:pPr>
        <w:spacing w:after="120" w:before="200"/>
      </w:pPr>
      <w:r>
        <w:rPr>
          <w:rFonts w:ascii="Times New Roman" w:cs="Times New Roman" w:eastAsia="Times New Roman" w:hAnsi="Times New Roman"/>
          <w:b/>
          <w:bCs/>
          <w:i/>
          <w:iCs/>
          <w:color w:val="333333"/>
          <w:sz w:val="22"/>
          <w:szCs w:val="22"/>
        </w:rPr>
        <w:t xml:space="preserve">Affected Domains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Controlled fermentation (wine, cheese, sourdough): </w:t>
      </w:r>
      <w:r>
        <w:rPr>
          <w:rFonts w:ascii="Times New Roman" w:cs="Times New Roman" w:eastAsia="Times New Roman" w:hAnsi="Times New Roman"/>
          <w:color w:val="333333"/>
          <w:sz w:val="22"/>
          <w:szCs w:val="22"/>
        </w:rPr>
        <w:t xml:space="preserve">Microbial population ratios shift deliberately from inoculation through maturation. The winemaker wants the ratio of Saccharomyces to Brettanomyces to change in a specific trajectory. Drift is the product.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Machine learning model training: </w:t>
      </w:r>
      <w:r>
        <w:rPr>
          <w:rFonts w:ascii="Times New Roman" w:cs="Times New Roman" w:eastAsia="Times New Roman" w:hAnsi="Times New Roman"/>
          <w:color w:val="333333"/>
          <w:sz w:val="22"/>
          <w:szCs w:val="22"/>
        </w:rPr>
        <w:t xml:space="preserve">Neural network weight ratios change deliberately during gradient descent. Every training epoch produces a "drift event" in the parameter space. The entire purpose of training is to move weights from initial to optimal values.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Demographic transition: </w:t>
      </w:r>
      <w:r>
        <w:rPr>
          <w:rFonts w:ascii="Times New Roman" w:cs="Times New Roman" w:eastAsia="Times New Roman" w:hAnsi="Times New Roman"/>
          <w:color w:val="333333"/>
          <w:sz w:val="22"/>
          <w:szCs w:val="22"/>
        </w:rPr>
        <w:t xml:space="preserve">The ratio of birth rates to death rates shifts as societies move through demographic stages. This is a well-understood macro-historical process, not a failure requiring intervention.</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Startup equity dilution: </w:t>
      </w:r>
      <w:r>
        <w:rPr>
          <w:rFonts w:ascii="Times New Roman" w:cs="Times New Roman" w:eastAsia="Times New Roman" w:hAnsi="Times New Roman"/>
          <w:color w:val="333333"/>
          <w:sz w:val="22"/>
          <w:szCs w:val="22"/>
        </w:rPr>
        <w:t xml:space="preserve">Founder equity ratios decrease through successive funding rounds by design. The "drift" from 100% founder ownership to distributed ownership is the intended financial structure of venture-backed growth.</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Seasonal retail inventory rotation: </w:t>
      </w:r>
      <w:r>
        <w:rPr>
          <w:rFonts w:ascii="Times New Roman" w:cs="Times New Roman" w:eastAsia="Times New Roman" w:hAnsi="Times New Roman"/>
          <w:color w:val="333333"/>
          <w:sz w:val="22"/>
          <w:szCs w:val="22"/>
        </w:rPr>
        <w:t xml:space="preserve">The ratio of winter to summer merchandise is supposed to change every quarter. A retailer who maintained constant ratios year-round would be failing, not succeeding.</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Controlled chemical reactions: </w:t>
      </w:r>
      <w:r>
        <w:rPr>
          <w:rFonts w:ascii="Times New Roman" w:cs="Times New Roman" w:eastAsia="Times New Roman" w:hAnsi="Times New Roman"/>
          <w:color w:val="333333"/>
          <w:sz w:val="22"/>
          <w:szCs w:val="22"/>
        </w:rPr>
        <w:t xml:space="preserve">Reactant-to-product ratios change monotonically toward equilibrium. In industrial chemistry, monitoring for "drift" in this ratio would flag every successful reaction as a system failure.</w:t>
      </w:r>
    </w:p>
    <w:p>
      <w:pPr>
        <w:spacing w:after="160"/>
        <w:jc w:val="both"/>
      </w:pPr>
      <w:r>
        <w:rPr>
          <w:rFonts w:ascii="Times New Roman" w:cs="Times New Roman" w:eastAsia="Times New Roman" w:hAnsi="Times New Roman"/>
          <w:b/>
          <w:bCs/>
          <w:color w:val="8B0000"/>
          <w:sz w:val="22"/>
          <w:szCs w:val="22"/>
        </w:rPr>
        <w:t xml:space="preserve">False positive mechanism: </w:t>
      </w:r>
      <w:r>
        <w:rPr>
          <w:rFonts w:ascii="Times New Roman" w:cs="Times New Roman" w:eastAsia="Times New Roman" w:hAnsi="Times New Roman"/>
          <w:color w:val="333333"/>
          <w:sz w:val="22"/>
          <w:szCs w:val="22"/>
        </w:rPr>
        <w:t xml:space="preserve">A sourdough bakery installs HUF monitoring on their starter culture. MC-4 fires daily as lactobacilli/yeast ratios shift through the natural fermentation curve. The head baker, trusting the framework, intervenes repeatedly to "correct" the drift, ultimately killing the culture by preventing the natural microbial succession that produces good bread.</w:t>
      </w:r>
    </w:p>
    <w:p>
      <w:pPr>
        <w:spacing w:after="160" w:before="80"/>
      </w:pPr>
      <w:r>
        <w:rPr>
          <w:rFonts w:ascii="Times New Roman" w:cs="Times New Roman" w:eastAsia="Times New Roman" w:hAnsi="Times New Roman"/>
          <w:i/>
          <w:iCs/>
          <w:color w:val="2E75B6"/>
          <w:sz w:val="20"/>
          <w:szCs w:val="20"/>
        </w:rPr>
        <w:t xml:space="preserve">▶ See: HUF Collective Trace v5.10, Section 7 (Distinguishing Drift from Design)</w:t>
      </w:r>
    </w:p>
    <w:p>
      <w:r>
        <w:br w:type="page"/>
      </w:r>
    </w:p>
    <w:p>
      <w:pPr>
        <w:pStyle w:val="Heading1"/>
        <w:spacing w:after="200" w:before="360"/>
      </w:pPr>
      <w:r>
        <w:rPr>
          <w:rFonts w:ascii="Times New Roman" w:cs="Times New Roman" w:eastAsia="Times New Roman" w:hAnsi="Times New Roman"/>
          <w:b/>
          <w:bCs/>
          <w:color w:val="1F3864"/>
          <w:sz w:val="28"/>
          <w:szCs w:val="28"/>
        </w:rPr>
        <w:t xml:space="preserve">4. Consolidated Failure Category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Table 1 summarizes all eight failure categories, their structural violations, example domain counts, and the precondition they violate.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900"/>
        <w:gridCol w:w="19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FC</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Failure Category</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Structural Violation</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w:t>
            </w:r>
          </w:p>
        </w:tc>
        <w:tc>
          <w:tcPr>
            <w:tcW w:type="dxa" w:w="1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Precondition Violated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FC-1</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Artificial Unity Constraint</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natural conservation law</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FC-2</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 / Unbounded Systems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Variable K, unstable denominator</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Boundedness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FC-3</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Oscillatory &amp; Chaotic Dynamics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is normal operation</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Stationarity</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FC-4</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Hidden Structural Dependencies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Component measurement not independent</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Independence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FC-5</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Normalization Destroys Information</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Absolute magnitude essential</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Sufficiency</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FC-6</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Adversarial Exploitation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Agents game the ratio structure</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Non-reflexivity</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FC-7</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Quantum &amp; Discrete-State Systems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Classical ratio logic inapplicable</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Classical Measurement</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FC-8</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Drift-as-Function Systems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Directional change is the design</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 Failure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Total: </w:t>
      </w:r>
      <w:r>
        <w:rPr>
          <w:rFonts w:ascii="Times New Roman" w:cs="Times New Roman" w:eastAsia="Times New Roman" w:hAnsi="Times New Roman"/>
          <w:color w:val="333333"/>
          <w:sz w:val="22"/>
          <w:szCs w:val="22"/>
        </w:rPr>
        <w:t xml:space="preserve">8 failure categories, 42 specific domains identified.</w:t>
      </w:r>
    </w:p>
    <w:p>
      <w:r>
        <w:br w:type="page"/>
      </w:r>
    </w:p>
    <w:p>
      <w:pPr>
        <w:pStyle w:val="Heading1"/>
        <w:spacing w:after="200" w:before="360"/>
      </w:pPr>
      <w:r>
        <w:rPr>
          <w:rFonts w:ascii="Times New Roman" w:cs="Times New Roman" w:eastAsia="Times New Roman" w:hAnsi="Times New Roman"/>
          <w:b/>
          <w:bCs/>
          <w:color w:val="1F3864"/>
          <w:sz w:val="28"/>
          <w:szCs w:val="28"/>
        </w:rPr>
        <w:t xml:space="preserve">5. Common Thread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Across all eight failure categories, a single structural pattern emerges. HUF applicability requires four simultaneous preconditions, and each failure category represents the violation of at least one:</w:t>
      </w:r>
    </w:p>
    <w:p>
      <w:pPr>
        <w:spacing w:after="120" w:before="200"/>
      </w:pPr>
      <w:r>
        <w:rPr>
          <w:rFonts w:ascii="Times New Roman" w:cs="Times New Roman" w:eastAsia="Times New Roman" w:hAnsi="Times New Roman"/>
          <w:b/>
          <w:bCs/>
          <w:i/>
          <w:iCs/>
          <w:color w:val="333333"/>
          <w:sz w:val="22"/>
          <w:szCs w:val="22"/>
        </w:rPr>
        <w:t xml:space="preserve">The Four Preconditions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P1 — Natural Conservation: </w:t>
      </w:r>
      <w:r>
        <w:rPr>
          <w:rFonts w:ascii="Times New Roman" w:cs="Times New Roman" w:eastAsia="Times New Roman" w:hAnsi="Times New Roman"/>
          <w:color w:val="333333"/>
          <w:sz w:val="22"/>
          <w:szCs w:val="22"/>
        </w:rPr>
        <w:t xml:space="preserve">There exists a quantity K that the system intrinsically conserves. The unity constraint is not imposed by the analyst but arises from the physics, economics, or logic of the system.</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P2 — Bounded Component Set: </w:t>
      </w:r>
      <w:r>
        <w:rPr>
          <w:rFonts w:ascii="Times New Roman" w:cs="Times New Roman" w:eastAsia="Times New Roman" w:hAnsi="Times New Roman"/>
          <w:color w:val="333333"/>
          <w:sz w:val="22"/>
          <w:szCs w:val="22"/>
        </w:rPr>
        <w:t xml:space="preserve">The number of ratio components is finite and stable over the monitoring window. Components do not spontaneously appear or disappear.</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P3 — Independent Measurability: </w:t>
      </w:r>
      <w:r>
        <w:rPr>
          <w:rFonts w:ascii="Times New Roman" w:cs="Times New Roman" w:eastAsia="Times New Roman" w:hAnsi="Times New Roman"/>
          <w:color w:val="333333"/>
          <w:sz w:val="22"/>
          <w:szCs w:val="22"/>
        </w:rPr>
        <w:t xml:space="preserve">Each ratio component can be measured without systematically distorting the measurement of other components.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P4 — Stationarity Baseline: </w:t>
      </w:r>
      <w:r>
        <w:rPr>
          <w:rFonts w:ascii="Times New Roman" w:cs="Times New Roman" w:eastAsia="Times New Roman" w:hAnsi="Times New Roman"/>
          <w:color w:val="333333"/>
          <w:sz w:val="22"/>
          <w:szCs w:val="22"/>
        </w:rPr>
        <w:t xml:space="preserve">The system has a meaningful steady state or equilibrium from which drift can be defined. Drift is a departure from normal, not normal itself.</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all four preconditions hold, HUF provides a powerful monitoring framework. When any one fails, the framework either generates false positives (detecting non-existent problems), false negatives (missing real problems because the ratio structure masks them), or meaningless outputs (continuous alerts that carry no actionable information).</w:t>
      </w:r>
    </w:p>
    <w:p>
      <w:pPr>
        <w:pStyle w:val="Heading2"/>
        <w:spacing w:after="160" w:before="280"/>
      </w:pPr>
      <w:r>
        <w:rPr>
          <w:rFonts w:ascii="Times New Roman" w:cs="Times New Roman" w:eastAsia="Times New Roman" w:hAnsi="Times New Roman"/>
          <w:b/>
          <w:bCs/>
          <w:color w:val="1F3864"/>
          <w:sz w:val="24"/>
          <w:szCs w:val="24"/>
        </w:rPr>
        <w:t xml:space="preserve">5.1 The Deceptive Drift Problem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most dangerous failure mode across all categories is not outright failure but apparent success. When HUF is applied to an inappropriate domain, it will still produce numbers. Ratios will still sum to unity (by construction). MC-4 will still compute drift magnitudes. The system will look like it is working. This is the false-positive problem that motivates this entire document.</w:t>
      </w:r>
    </w:p>
    <w:p>
      <w:pPr>
        <w:spacing w:after="160"/>
        <w:jc w:val="both"/>
      </w:pPr>
      <w:r>
        <w:rPr>
          <w:rFonts w:ascii="Times New Roman" w:cs="Times New Roman" w:eastAsia="Times New Roman" w:hAnsi="Times New Roman"/>
          <w:color w:val="333333"/>
          <w:sz w:val="22"/>
          <w:szCs w:val="22"/>
        </w:rPr>
        <w:t xml:space="preserve">The specific danger is that a practitioner observes stable ratios and concludes the system is healthy, when the system is actually failing in dimensions the ratio structure cannot capture. </w:t>
      </w:r>
      <w:r>
        <w:rPr>
          <w:rFonts w:ascii="Times New Roman" w:cs="Times New Roman" w:eastAsia="Times New Roman" w:hAnsi="Times New Roman"/>
          <w:b/>
          <w:bCs/>
          <w:color w:val="333333"/>
          <w:sz w:val="22"/>
          <w:szCs w:val="22"/>
        </w:rPr>
        <w:t xml:space="preserve">The framework does not fail loudly; it fails silently, producing confident but meaningless monitoring outputs.</w:t>
      </w:r>
    </w:p>
    <w:p>
      <w:pPr>
        <w:pStyle w:val="Heading2"/>
        <w:spacing w:after="160" w:before="280"/>
      </w:pPr>
      <w:r>
        <w:rPr>
          <w:rFonts w:ascii="Times New Roman" w:cs="Times New Roman" w:eastAsia="Times New Roman" w:hAnsi="Times New Roman"/>
          <w:b/>
          <w:bCs/>
          <w:color w:val="1F3864"/>
          <w:sz w:val="24"/>
          <w:szCs w:val="24"/>
        </w:rPr>
        <w:t xml:space="preserve">5.2 Decision Framework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Before applying HUF to any new domain, practitioners should complete the following structural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Test</w:t>
            </w:r>
          </w:p>
        </w:tc>
        <w:tc>
          <w:tcPr>
            <w:tcW w:type="dxa" w:w="5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Question</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If No</w:t>
            </w:r>
          </w:p>
        </w:tc>
      </w:tr>
      <w:tr>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Conservation</w:t>
            </w:r>
          </w:p>
        </w:tc>
        <w:tc>
          <w:tcPr>
            <w:tcW w:type="dxa" w:w="5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system have a natural quantity that sums to a fixed or slowly-varying total?</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 not apply HUF. See FC-1, FC-2.</w:t>
            </w:r>
          </w:p>
        </w:tc>
      </w:tr>
      <w:tr>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Boundedness</w:t>
            </w:r>
          </w:p>
        </w:tc>
        <w:tc>
          <w:tcPr>
            <w:tcW w:type="dxa" w:w="5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the component set finite and stable over the intended monitoring window?</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 not apply HUF. See FC-2.</w:t>
            </w:r>
          </w:p>
        </w:tc>
      </w:tr>
      <w:tr>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Independence</w:t>
            </w:r>
          </w:p>
        </w:tc>
        <w:tc>
          <w:tcPr>
            <w:tcW w:type="dxa" w:w="5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Can each component be measured without systematically distorting other components?</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 not apply HUF. See FC-4.</w:t>
            </w:r>
          </w:p>
        </w:tc>
      </w:tr>
      <w:tr>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Stationarity</w:t>
            </w:r>
          </w:p>
        </w:tc>
        <w:tc>
          <w:tcPr>
            <w:tcW w:type="dxa" w:w="5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system have a meaningful equilibrium or steady state?</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 not apply HUF. See FC-3, FC-8.</w:t>
            </w:r>
          </w:p>
        </w:tc>
      </w:tr>
      <w:tr>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Sufficiency</w:t>
            </w:r>
          </w:p>
        </w:tc>
        <w:tc>
          <w:tcPr>
            <w:tcW w:type="dxa" w:w="5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 ratios capture the essential information, or are absolute magnitudes critical?</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Use HUF with caution. See FC-5.</w:t>
            </w:r>
          </w:p>
        </w:tc>
      </w:tr>
      <w:tr>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Non-reflexivity</w:t>
            </w:r>
          </w:p>
        </w:tc>
        <w:tc>
          <w:tcPr>
            <w:tcW w:type="dxa" w:w="5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Are system agents unable to observe and game the monitoring framework?</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Use HUF with caution. See FC-6.</w:t>
            </w:r>
          </w:p>
        </w:tc>
      </w:tr>
    </w:tbl>
    <w:p>
      <w:pPr>
        <w:spacing w:after="160" w:before="80"/>
      </w:pPr>
      <w:r>
        <w:rPr>
          <w:rFonts w:ascii="Times New Roman" w:cs="Times New Roman" w:eastAsia="Times New Roman" w:hAnsi="Times New Roman"/>
          <w:i/>
          <w:iCs/>
          <w:color w:val="2E75B6"/>
          <w:sz w:val="20"/>
          <w:szCs w:val="20"/>
        </w:rPr>
        <w:t xml:space="preserve">▶ See: HUF Sufficiency Frontier v3.6, Section 4 (Applicability Preconditions)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Implications for the HUF Corpus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non-applicability analysis directly strengthens the HUF corpus in several ways:</w:t>
      </w:r>
    </w:p>
    <w:p>
      <w:pPr>
        <w:spacing w:after="120" w:before="200"/>
      </w:pPr>
      <w:r>
        <w:rPr>
          <w:rFonts w:ascii="Times New Roman" w:cs="Times New Roman" w:eastAsia="Times New Roman" w:hAnsi="Times New Roman"/>
          <w:b/>
          <w:bCs/>
          <w:i/>
          <w:iCs/>
          <w:color w:val="333333"/>
          <w:sz w:val="22"/>
          <w:szCs w:val="22"/>
        </w:rPr>
        <w:t xml:space="preserve">6.1 Credibility Through Boundary Honesty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Publishing explicit failure domains alongside capability claims moves HUF from advocacy to science. No serious mathematical framework claims universal applicability. By specifying exactly where HUF fails and why, the framework invites rigorous evaluation rather than blanket acceptance or dismissal.</w:t>
      </w:r>
    </w:p>
    <w:p>
      <w:pPr>
        <w:spacing w:after="120" w:before="200"/>
      </w:pPr>
      <w:r>
        <w:rPr>
          <w:rFonts w:ascii="Times New Roman" w:cs="Times New Roman" w:eastAsia="Times New Roman" w:hAnsi="Times New Roman"/>
          <w:b/>
          <w:bCs/>
          <w:i/>
          <w:iCs/>
          <w:color w:val="333333"/>
          <w:sz w:val="22"/>
          <w:szCs w:val="22"/>
        </w:rPr>
        <w:t xml:space="preserve">6.2 Refinement of the Sufficiency Frontier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four preconditions identified in this analysis (Conservation, Boundedness, Independence, Stationarity) provide a tighter characterization of the Sufficiency Frontier boundary. Future versions of SF can formalize these as testable axioms rather than informal assumptions.</w:t>
      </w:r>
    </w:p>
    <w:p>
      <w:pPr>
        <w:spacing w:after="120" w:before="200"/>
      </w:pPr>
      <w:r>
        <w:rPr>
          <w:rFonts w:ascii="Times New Roman" w:cs="Times New Roman" w:eastAsia="Times New Roman" w:hAnsi="Times New Roman"/>
          <w:b/>
          <w:bCs/>
          <w:i/>
          <w:iCs/>
          <w:color w:val="333333"/>
          <w:sz w:val="22"/>
          <w:szCs w:val="22"/>
        </w:rPr>
        <w:t xml:space="preserve">6.3 False-Positive Test Protocol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establishes a standard protocol for evaluating new HUF applications. Before any new domain is added to the HUF portfolio of validated applications, it must pass the six-question assessment in Table 2. This prevents category inflation and maintains the credibility of validated applications.</w:t>
      </w:r>
    </w:p>
    <w:p>
      <w:pPr>
        <w:spacing w:after="120" w:before="200"/>
      </w:pPr>
      <w:r>
        <w:rPr>
          <w:rFonts w:ascii="Times New Roman" w:cs="Times New Roman" w:eastAsia="Times New Roman" w:hAnsi="Times New Roman"/>
          <w:b/>
          <w:bCs/>
          <w:i/>
          <w:iCs/>
          <w:color w:val="333333"/>
          <w:sz w:val="22"/>
          <w:szCs w:val="22"/>
        </w:rPr>
        <w:t xml:space="preserve">6.4 The 42-Domain Catalog as Test Suite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42 specific domains identified in this analysis serve as a negative test suite for future HUF tools and software. Any computational implementation of HUF should be tested against these domains to verify that it correctly rejects or flags inapplicable inputs rather than silently producing meaningless outputs.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is a powerful tool for monitoring drift in bounded, conserved, ratio-structured systems. It is not, and does not claim to be, a universal monitoring framework for all dynamical systems.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identifies eight structural categories and forty-two specific domains where HUF should not be applied, or should be applied only with explicit caveats. The common thread across all failure categories is the violation of one or more of the four preconditions: natural conservation, bounded component set, independent measurability, and stationarity baseline.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most important contribution of this analysis is not the specific domain list, which will evolve as HUF is applied to new areas, but the structural reasoning that determines why each domain fails. Practitioners equipped with the four-precondition test and the six-question decision framework can independently evaluate new domains without needing to consult this catalog.</w:t>
      </w:r>
    </w:p>
    <w:p>
      <w:pPr>
        <w:spacing w:after="160"/>
        <w:jc w:val="both"/>
      </w:pPr>
      <w:r>
        <w:rPr>
          <w:rFonts w:ascii="Times New Roman" w:cs="Times New Roman" w:eastAsia="Times New Roman" w:hAnsi="Times New Roman"/>
          <w:b/>
          <w:bCs/>
          <w:i/>
          <w:iCs/>
          <w:color w:val="333333"/>
          <w:sz w:val="22"/>
          <w:szCs w:val="22"/>
        </w:rPr>
        <w:t xml:space="preserve">A framework that knows its own boundaries is stronger than one that claims none.</w:t>
      </w:r>
      <w:r>
        <w:rPr>
          <w:rFonts w:ascii="Times New Roman" w:cs="Times New Roman" w:eastAsia="Times New Roman" w:hAnsi="Times New Roman"/>
          <w:color w:val="333333"/>
          <w:sz w:val="22"/>
          <w:szCs w:val="22"/>
        </w:rPr>
        <w:t xml:space="preserve"> This document is as central to the HUF corpus as the Sufficiency Frontier and the Fourth Monitoring Category. Together, they define not just what HUF can do, but what it cannot, and why.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Pre-Publication Draft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 Non-Applicability Analysis</w:t>
    </w:r>
    <w:r>
      <w:rPr>
        <w:rFonts w:ascii="Times New Roman" w:cs="Times New Roman" w:eastAsia="Times New Roman" w:hAnsi="Times New Roman"/>
        <w:i/>
        <w:iCs/>
        <w:color w:val="2E75B6"/>
        <w:sz w:val="18"/>
        <w:szCs w:val="18"/>
      </w:rPr>
      <w:t xml:space="preserve">	Where HUF Does Not Apply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2026-03-11T16:33:02.940Z</dcterms:created>
  <dcterms:modified xsi:type="dcterms:W3CDTF">2026-03-11T16:33:02.941Z</dcterms:modified>
</cp:coreProperties>
</file>

<file path=docProps/custom.xml><?xml version="1.0" encoding="utf-8"?>
<Properties xmlns="http://schemas.openxmlformats.org/officeDocument/2006/custom-properties" xmlns:vt="http://schemas.openxmlformats.org/officeDocument/2006/docPropsVTypes"/>
</file>