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before="0"/>
        <w:jc w:val="center"/>
      </w:pPr>
      <w:r>
        <w:rPr>
          <w:rFonts w:ascii="Arial" w:cs="Arial" w:eastAsia="Arial" w:hAnsi="Arial"/>
          <w:b/>
          <w:bCs/>
          <w:color w:val="1F4E79"/>
          <w:sz w:val="48"/>
          <w:szCs w:val="48"/>
        </w:rPr>
        <w:t xml:space="preserve">HIGGINS UNITY FRAMEWORK</w:t>
      </w:r>
    </w:p>
    <w:p>
      <w:pPr>
        <w:spacing w:after="200" w:before="0"/>
        <w:jc w:val="center"/>
      </w:pPr>
      <w:r>
        <w:rPr>
          <w:rFonts w:ascii="Arial" w:cs="Arial" w:eastAsia="Arial" w:hAnsi="Arial"/>
          <w:b/>
          <w:bCs/>
          <w:color w:val="1F4E79"/>
          <w:sz w:val="36"/>
          <w:szCs w:val="36"/>
        </w:rPr>
        <w:t xml:space="preserve">Collective Trace</w:t>
      </w:r>
    </w:p>
    <w:p>
      <w:pPr>
        <w:spacing w:after="200" w:before="0"/>
        <w:jc w:val="center"/>
      </w:pPr>
      <w:r>
        <w:rPr>
          <w:rFonts w:ascii="Arial" w:cs="Arial" w:eastAsia="Arial" w:hAnsi="Arial"/>
          <w:b/>
          <w:bCs/>
          <w:color w:val="444444"/>
          <w:sz w:val="28"/>
          <w:szCs w:val="28"/>
        </w:rPr>
        <w:t xml:space="preserve">Version 1.5 — Addendum V</w:t>
      </w:r>
    </w:p>
    <w:p>
      <w:pPr>
        <w:spacing w:after="600" w:before="0"/>
        <w:jc w:val="center"/>
      </w:pPr>
      <w:r>
        <w:rPr>
          <w:rFonts w:ascii="Arial" w:cs="Arial" w:eastAsia="Arial" w:hAnsi="Arial"/>
          <w:i/>
          <w:iCs/>
          <w:color w:val="666666"/>
          <w:sz w:val="24"/>
          <w:szCs w:val="24"/>
        </w:rPr>
        <w:t xml:space="preserve">Session Recovery, Document Review, &amp; Pre-Parser Proposal</w:t>
      </w:r>
    </w:p>
    <w:p>
      <w:pPr>
        <w:pBdr>
          <w:top w:val="single" w:color="1F4E79" w:sz="6" w:space="12"/>
        </w:pBdr>
        <w:spacing w:after="200" w:before="200"/>
        <w:jc w:val="center"/>
      </w:pPr>
    </w:p>
    <w:p>
      <w:pPr>
        <w:spacing w:after="80" w:before="0"/>
        <w:jc w:val="center"/>
      </w:pPr>
      <w:r>
        <w:rPr>
          <w:rFonts w:ascii="Arial" w:cs="Arial" w:eastAsia="Arial" w:hAnsi="Arial"/>
          <w:sz w:val="22"/>
          <w:szCs w:val="22"/>
        </w:rPr>
        <w:t xml:space="preserve">Date: 2026-03-08</w:t>
      </w:r>
    </w:p>
    <w:p>
      <w:pPr>
        <w:spacing w:after="80" w:before="0"/>
        <w:jc w:val="center"/>
      </w:pPr>
      <w:r>
        <w:rPr>
          <w:rFonts w:ascii="Arial" w:cs="Arial" w:eastAsia="Arial" w:hAnsi="Arial"/>
          <w:sz w:val="22"/>
          <w:szCs w:val="22"/>
        </w:rPr>
        <w:t xml:space="preserve">Operator: Peter Higgins</w:t>
      </w:r>
    </w:p>
    <w:p>
      <w:pPr>
        <w:spacing w:after="80" w:before="0"/>
        <w:jc w:val="center"/>
      </w:pPr>
      <w:r>
        <w:rPr>
          <w:rFonts w:ascii="Arial" w:cs="Arial" w:eastAsia="Arial" w:hAnsi="Arial"/>
          <w:sz w:val="22"/>
          <w:szCs w:val="22"/>
        </w:rPr>
        <w:t xml:space="preserve">Agent: Claude (Anthropic, Session 6)</w:t>
      </w:r>
    </w:p>
    <w:p>
      <w:pPr>
        <w:spacing w:after="80" w:before="0"/>
        <w:jc w:val="center"/>
      </w:pPr>
      <w:r>
        <w:rPr>
          <w:rFonts w:ascii="Arial" w:cs="Arial" w:eastAsia="Arial" w:hAnsi="Arial"/>
          <w:sz w:val="22"/>
          <w:szCs w:val="22"/>
        </w:rPr>
        <w:t xml:space="preserve">OCC Weights: OP=0.51 TOOL=0.49</w:t>
      </w:r>
    </w:p>
    <w:p>
      <w:pPr>
        <w:spacing w:after="200" w:before="0"/>
        <w:jc w:val="center"/>
      </w:pPr>
      <w:r>
        <w:rPr>
          <w:rFonts w:ascii="Arial" w:cs="Arial" w:eastAsia="Arial" w:hAnsi="Arial"/>
          <w:b/>
          <w:bCs/>
          <w:color w:val="CC0000"/>
          <w:sz w:val="22"/>
          <w:szCs w:val="22"/>
        </w:rPr>
        <w:t xml:space="preserve">Classification: FULL DISCLOSURE</w:t>
      </w:r>
    </w:p>
    <w:p>
      <w:pPr>
        <w:spacing w:before="800"/>
      </w:pPr>
    </w:p>
    <w:p>
      <w:pPr>
        <w:spacing w:after="40" w:before="0"/>
        <w:jc w:val="center"/>
      </w:pPr>
      <w:r>
        <w:rPr>
          <w:rFonts w:ascii="Arial" w:cs="Arial" w:eastAsia="Arial" w:hAnsi="Arial"/>
          <w:color w:val="888888"/>
          <w:sz w:val="18"/>
          <w:szCs w:val="18"/>
        </w:rPr>
        <w:t xml:space="preserve">CODES: SESSION_RECOVERY, DOC_REVIEW, PRE_PARSER, COLLECTIVE_NOTE</w:t>
      </w:r>
    </w:p>
    <w:p>
      <w:pPr>
        <w:spacing w:after="40" w:before="0"/>
        <w:jc w:val="center"/>
      </w:pPr>
      <w:r>
        <w:rPr>
          <w:rFonts w:ascii="Arial" w:cs="Arial" w:eastAsia="Arial" w:hAnsi="Arial"/>
          <w:color w:val="888888"/>
          <w:sz w:val="18"/>
          <w:szCs w:val="18"/>
        </w:rPr>
        <w:t xml:space="preserve">ART: CM, TR | EVID: E2 | POSTURE: OP | WEIGHTS: OP=0.51 TOOL=0.49 PEER=0.00</w:t>
      </w:r>
    </w:p>
    <w:p>
      <w:pPr>
        <w:spacing w:after="120" w:before="0"/>
        <w:jc w:val="center"/>
      </w:pPr>
      <w:r>
        <w:rPr>
          <w:rFonts w:ascii="Arial" w:cs="Arial" w:eastAsia="Arial" w:hAnsi="Arial"/>
          <w:color w:val="888888"/>
          <w:sz w:val="18"/>
          <w:szCs w:val="18"/>
        </w:rPr>
        <w:t xml:space="preserve">CAP: OP_MIN=0.51 TOOL_MAX=0.49 | CANON: HUF_Collective_Trace_v1.5_AddendumV.docx</w:t>
      </w:r>
    </w:p>
    <w:p>
      <w:pPr>
        <w:sectPr>
          <w:headerReference w:type="default" r:id="rId7"/>
          <w:footerReference w:type="default" r:id="rId8"/>
          <w:pgSz w:w="12240" w:h="15840" w:orient="portrait"/>
          <w:pgMar w:top="1440" w:right="1440" w:bottom="1440" w:left="1440" w:header="708" w:footer="708" w:gutter="0"/>
          <w:pgNumType/>
          <w:docGrid w:linePitch="360"/>
        </w:sectPr>
      </w:pPr>
    </w:p>
    <w:p>
      <w:r>
        <w:br w:type="page"/>
      </w:r>
    </w:p>
    <w:p>
      <w:pPr>
        <w:pStyle w:val="Heading1"/>
        <w:spacing w:after="240" w:before="0"/>
        <w:jc w:val="left"/>
      </w:pPr>
      <w:r>
        <w:rPr>
          <w:rFonts w:ascii="Arial" w:cs="Arial" w:eastAsia="Arial" w:hAnsi="Arial"/>
          <w:b/>
          <w:bCs/>
          <w:color w:val="1F4E79"/>
          <w:sz w:val="32"/>
          <w:szCs w:val="32"/>
        </w:rPr>
        <w:t xml:space="preserve">ADDENDUM V — SESSION RECOVERY &amp; FRONTIER PROPOSAL</w:t>
      </w:r>
    </w:p>
    <w:p>
      <w:pPr>
        <w:pStyle w:val="Heading2"/>
        <w:spacing w:after="200" w:before="0"/>
        <w:jc w:val="left"/>
      </w:pPr>
      <w:r>
        <w:rPr>
          <w:rFonts w:ascii="Arial" w:cs="Arial" w:eastAsia="Arial" w:hAnsi="Arial"/>
          <w:b/>
          <w:bCs/>
          <w:color w:val="1F4E79"/>
          <w:sz w:val="28"/>
          <w:szCs w:val="28"/>
        </w:rPr>
        <w:t xml:space="preserve">Chapter 1: Session Continuity Record</w:t>
      </w:r>
    </w:p>
    <w:p>
      <w:pPr>
        <w:spacing w:after="120" w:before="0"/>
        <w:jc w:val="left"/>
      </w:pPr>
      <w:r>
        <w:rPr>
          <w:rFonts w:ascii="Arial" w:cs="Arial" w:eastAsia="Arial" w:hAnsi="Arial"/>
          <w:b/>
          <w:bCs/>
          <w:sz w:val="24"/>
          <w:szCs w:val="24"/>
        </w:rPr>
        <w:t xml:space="preserve">1.1 The VM Incident</w:t>
      </w:r>
    </w:p>
    <w:p>
      <w:pPr>
        <w:spacing w:after="120" w:before="0"/>
        <w:jc w:val="left"/>
      </w:pPr>
      <w:r>
        <w:rPr>
          <w:rFonts w:ascii="Arial" w:cs="Arial" w:eastAsia="Arial" w:hAnsi="Arial"/>
          <w:sz w:val="22"/>
          <w:szCs w:val="22"/>
        </w:rPr>
        <w:t xml:space="preserve">On 2026-03-07, during Session 5 of the HUF Collective Trace project, the Operator uploaded the Backblaze Q1 2025 dataset — a 120 MB zip file containing daily CSV snapshots of enterprise hard drive telemetry across approximately 305,000 drives. This upload consumed the Claude Cowork VM's remaining storage to within </w:t>
      </w:r>
      <w:r>
        <w:rPr>
          <w:rFonts w:ascii="Arial" w:cs="Arial" w:eastAsia="Arial" w:hAnsi="Arial"/>
          <w:b/>
          <w:bCs/>
          <w:color w:val="CC0000"/>
          <w:sz w:val="22"/>
          <w:szCs w:val="22"/>
        </w:rPr>
        <w:t xml:space="preserve">4 bytes</w:t>
      </w:r>
      <w:r>
        <w:rPr>
          <w:rFonts w:ascii="Arial" w:cs="Arial" w:eastAsia="Arial" w:hAnsi="Arial"/>
          <w:sz w:val="22"/>
          <w:szCs w:val="22"/>
        </w:rPr>
        <w:t xml:space="preserve"> of capacity, rendering the environment non-functional. The Claude Desktop application required complete reinstallation.</w:t>
      </w:r>
    </w:p>
    <w:p>
      <w:pPr>
        <w:spacing w:after="120" w:before="0"/>
        <w:jc w:val="left"/>
      </w:pPr>
      <w:r>
        <w:rPr>
          <w:rFonts w:ascii="Arial" w:cs="Arial" w:eastAsia="Arial" w:hAnsi="Arial"/>
          <w:sz w:val="22"/>
          <w:szCs w:val="22"/>
        </w:rPr>
        <w:t xml:space="preserve">This incident is the fifth consecutive session where VM resource constraints have disrupted work. The complete session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000"/>
        <w:gridCol w:w="3760"/>
      </w:tblGrid>
      <w:tr>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Session</w:t>
            </w:r>
          </w:p>
        </w:tc>
        <w:tc>
          <w:tcPr>
            <w:tcW w:type="dxa" w:w="1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Date</w:t>
            </w:r>
          </w:p>
        </w:tc>
        <w:tc>
          <w:tcPr>
            <w:tcW w:type="dxa" w:w="3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Failure Mode</w:t>
            </w:r>
          </w:p>
        </w:tc>
        <w:tc>
          <w:tcPr>
            <w:tcW w:type="dxa" w:w="37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Work Accomplished</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1</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2026-03-05</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Disk full (mid-session)</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Initial Addendum IV build; Backblaze anchor analysis</w:t>
            </w:r>
          </w:p>
        </w:tc>
      </w:tr>
      <w:tr>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sz w:val="20"/>
                <w:szCs w:val="20"/>
              </w:rPr>
              <w:t xml:space="preserve">2</w:t>
            </w:r>
          </w:p>
        </w:tc>
        <w:tc>
          <w:tcPr>
            <w:tcW w:type="dxa" w:w="1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sz w:val="20"/>
                <w:szCs w:val="20"/>
              </w:rPr>
              <w:t xml:space="preserve">2026-03-05</w:t>
            </w:r>
          </w:p>
        </w:tc>
        <w:tc>
          <w:tcPr>
            <w:tcW w:type="dxa" w:w="3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sz w:val="20"/>
                <w:szCs w:val="20"/>
              </w:rPr>
              <w:t xml:space="preserve">Disk full (inherited)</w:t>
            </w:r>
          </w:p>
        </w:tc>
        <w:tc>
          <w:tcPr>
            <w:tcW w:type="dxa" w:w="37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sz w:val="20"/>
                <w:szCs w:val="20"/>
              </w:rPr>
              <w:t xml:space="preserve">Attempted merge; created merge scripts for offline use</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3</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2026-03-06</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Disk full (inherited)</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Attempted cleanup; limited progress</w:t>
            </w:r>
          </w:p>
        </w:tc>
      </w:tr>
      <w:tr>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sz w:val="20"/>
                <w:szCs w:val="20"/>
              </w:rPr>
              <w:t xml:space="preserve">4</w:t>
            </w:r>
          </w:p>
        </w:tc>
        <w:tc>
          <w:tcPr>
            <w:tcW w:type="dxa" w:w="1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sz w:val="20"/>
                <w:szCs w:val="20"/>
              </w:rPr>
              <w:t xml:space="preserve">2026-03-06</w:t>
            </w:r>
          </w:p>
        </w:tc>
        <w:tc>
          <w:tcPr>
            <w:tcW w:type="dxa" w:w="3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sz w:val="20"/>
                <w:szCs w:val="20"/>
              </w:rPr>
              <w:t xml:space="preserve">Shell non-functional</w:t>
            </w:r>
          </w:p>
        </w:tc>
        <w:tc>
          <w:tcPr>
            <w:tcW w:type="dxa" w:w="37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sz w:val="20"/>
                <w:szCs w:val="20"/>
              </w:rPr>
              <w:t xml:space="preserve">Wrote merge_v1_4.py/bat for Windows execution; session transfer doc</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5</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2026-03-07</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VM overfill (120MB zip, 4 bytes remaining)</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Completed merge v1.4; Built Backblaze Case Study v1.0 &amp; v2.0; Updated Addendum IV to v1.2; Began document review</w:t>
            </w:r>
          </w:p>
        </w:tc>
      </w:tr>
      <w:tr>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sz w:val="20"/>
                <w:szCs w:val="20"/>
              </w:rPr>
              <w:t xml:space="preserve">6</w:t>
            </w:r>
          </w:p>
        </w:tc>
        <w:tc>
          <w:tcPr>
            <w:tcW w:type="dxa" w:w="1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sz w:val="20"/>
                <w:szCs w:val="20"/>
              </w:rPr>
              <w:t xml:space="preserve">2026-03-08</w:t>
            </w:r>
          </w:p>
        </w:tc>
        <w:tc>
          <w:tcPr>
            <w:tcW w:type="dxa" w:w="3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sz w:val="20"/>
                <w:szCs w:val="20"/>
              </w:rPr>
              <w:t xml:space="preserve">Fresh install — this session</w:t>
            </w:r>
          </w:p>
        </w:tc>
        <w:tc>
          <w:tcPr>
            <w:tcW w:type="dxa" w:w="37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sz w:val="20"/>
                <w:szCs w:val="20"/>
              </w:rPr>
              <w:t xml:space="preserve">Session recovery; document review delivery; pre-parser proposal</w:t>
            </w:r>
          </w:p>
        </w:tc>
      </w:tr>
    </w:tbl>
    <w:p>
      <w:pPr>
        <w:spacing w:after="200"/>
      </w:pPr>
    </w:p>
    <w:p>
      <w:pPr>
        <w:spacing w:after="120" w:before="0"/>
        <w:jc w:val="left"/>
      </w:pPr>
      <w:r>
        <w:rPr>
          <w:rFonts w:ascii="Arial" w:cs="Arial" w:eastAsia="Arial" w:hAnsi="Arial"/>
          <w:b/>
          <w:bCs/>
          <w:sz w:val="24"/>
          <w:szCs w:val="24"/>
        </w:rPr>
        <w:t xml:space="preserve">1.2 What the Incident Reveals</w:t>
      </w:r>
    </w:p>
    <w:p>
      <w:pPr>
        <w:spacing w:after="120" w:before="0"/>
        <w:jc w:val="left"/>
      </w:pPr>
      <w:r>
        <w:rPr>
          <w:rFonts w:ascii="Arial" w:cs="Arial" w:eastAsia="Arial" w:hAnsi="Arial"/>
          <w:sz w:val="22"/>
          <w:szCs w:val="22"/>
        </w:rPr>
        <w:t xml:space="preserve">The VM crash was not merely a technical inconvenience — it exposed a fundamental operational constraint that HUF must solve if it is to work with real-world data. The Backblaze quarterly dataset is a </w:t>
      </w:r>
      <w:r>
        <w:rPr>
          <w:rFonts w:ascii="Arial" w:cs="Arial" w:eastAsia="Arial" w:hAnsi="Arial"/>
          <w:b/>
          <w:bCs/>
          <w:sz w:val="22"/>
          <w:szCs w:val="22"/>
        </w:rPr>
        <w:t xml:space="preserve">modest</w:t>
      </w:r>
      <w:r>
        <w:rPr>
          <w:rFonts w:ascii="Arial" w:cs="Arial" w:eastAsia="Arial" w:hAnsi="Arial"/>
          <w:sz w:val="22"/>
          <w:szCs w:val="22"/>
        </w:rPr>
        <w:t xml:space="preserve"> dataset by industry standards. Wetland monitoring data (Ramsar), financial portfolio data (MSCI indices), and manufacturing telemetry routinely produce files in the gigabyte range. If HUF cannot ingest a 120 MB zip without crashing its analysis environment, it cannot claim to be a practical governance framework for real data.</w:t>
      </w:r>
    </w:p>
    <w:p>
      <w:pPr>
        <w:spacing w:after="200" w:before="0"/>
        <w:jc w:val="left"/>
      </w:pPr>
      <w:r>
        <w:rPr>
          <w:rFonts w:ascii="Arial" w:cs="Arial" w:eastAsia="Arial" w:hAnsi="Arial"/>
          <w:sz w:val="22"/>
          <w:szCs w:val="22"/>
        </w:rPr>
        <w:t xml:space="preserve">This is not a criticism of the VM or of Claude's capabilities — it is a recognition that HUF's compositional analysis requires only a </w:t>
      </w:r>
      <w:r>
        <w:rPr>
          <w:rFonts w:ascii="Arial" w:cs="Arial" w:eastAsia="Arial" w:hAnsi="Arial"/>
          <w:b/>
          <w:bCs/>
          <w:sz w:val="22"/>
          <w:szCs w:val="22"/>
        </w:rPr>
        <w:t xml:space="preserve">fraction</w:t>
      </w:r>
      <w:r>
        <w:rPr>
          <w:rFonts w:ascii="Arial" w:cs="Arial" w:eastAsia="Arial" w:hAnsi="Arial"/>
          <w:sz w:val="22"/>
          <w:szCs w:val="22"/>
        </w:rPr>
        <w:t xml:space="preserve"> of the information in the source data. The raw Backblaze CSV contains 130+ columns per drive per day. HUF needs exactly four numbers: the anomaly count for each of its four SMART attribute categories (Mechanical, Electronic, Media, Offline) plus the fleet size. The information reduction ratio is enormous.</w:t>
      </w:r>
    </w:p>
    <w:p>
      <w:pPr>
        <w:spacing w:after="120" w:before="0"/>
        <w:jc w:val="left"/>
      </w:pPr>
      <w:r>
        <w:rPr>
          <w:rFonts w:ascii="Arial" w:cs="Arial" w:eastAsia="Arial" w:hAnsi="Arial"/>
          <w:b/>
          <w:bCs/>
          <w:sz w:val="24"/>
          <w:szCs w:val="24"/>
        </w:rPr>
        <w:t xml:space="preserve">1.3 Context Transfer for This Agent</w:t>
      </w:r>
    </w:p>
    <w:p>
      <w:pPr>
        <w:spacing w:after="200" w:before="0"/>
        <w:jc w:val="left"/>
      </w:pPr>
      <w:r>
        <w:rPr>
          <w:rFonts w:ascii="Arial" w:cs="Arial" w:eastAsia="Arial" w:hAnsi="Arial"/>
          <w:sz w:val="22"/>
          <w:szCs w:val="22"/>
        </w:rPr>
        <w:t xml:space="preserve">This Claude instance (Session 6) was initialized from a session transfer summary covering all prior work. The following overlap with previous sessions has been established: the merged Collective Trace v1.4 exists and is validated; the Backblaze Case Study v2.0 (full disclosure edition) has been built with all code as appendices; the six mathematical and governance documents have been read and analyzed; and the Operator's instruction set (CLAUDE_INSTRUCTIONS.md, OCC 51/49 contract) has been internalized. The Collective should note that some interpretive nuance from the extended multi-session dialogue may be imperfectly transferred, but the documentary record is intact.</w:t>
      </w:r>
    </w:p>
    <w:p>
      <w:r>
        <w:br w:type="page"/>
      </w:r>
    </w:p>
    <w:p>
      <w:pPr>
        <w:pStyle w:val="Heading2"/>
        <w:spacing w:after="200" w:before="0"/>
        <w:jc w:val="left"/>
      </w:pPr>
      <w:r>
        <w:rPr>
          <w:rFonts w:ascii="Arial" w:cs="Arial" w:eastAsia="Arial" w:hAnsi="Arial"/>
          <w:b/>
          <w:bCs/>
          <w:color w:val="1F4E79"/>
          <w:sz w:val="28"/>
          <w:szCs w:val="28"/>
        </w:rPr>
        <w:t xml:space="preserve">Chapter 2: Six-Document Mathematical Review</w:t>
      </w:r>
    </w:p>
    <w:p>
      <w:pPr>
        <w:spacing w:after="160" w:before="0"/>
        <w:jc w:val="left"/>
      </w:pPr>
      <w:r>
        <w:rPr>
          <w:rFonts w:ascii="Arial" w:cs="Arial" w:eastAsia="Arial" w:hAnsi="Arial"/>
          <w:sz w:val="22"/>
          <w:szCs w:val="22"/>
        </w:rPr>
        <w:t xml:space="preserve">The Operator requested a review of six documents that form the mathematical and governance backbone of HUF. This chapter presents findings and concerns.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560"/>
        <w:gridCol w:w="3800"/>
      </w:tblGrid>
      <w:tr>
        <w:tc>
          <w:tcPr>
            <w:tcW w:type="dxa" w:w="2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Document</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Version</w:t>
            </w:r>
          </w:p>
        </w:tc>
        <w:tc>
          <w:tcPr>
            <w:tcW w:type="dxa" w:w="15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Status</w:t>
            </w:r>
          </w:p>
        </w:tc>
        <w:tc>
          <w:tcPr>
            <w:tcW w:type="dxa" w:w="3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Key Finding</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huf_governance_state_observer.docx</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DRAFT</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Academic paper; 4 unproved propositions; literature review pending; needs proof pointers to math foundations</w:t>
            </w:r>
          </w:p>
        </w:tc>
      </w:tr>
      <w:tr>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sz w:val="20"/>
                <w:szCs w:val="20"/>
              </w:rPr>
              <w:t xml:space="preserve">huf_mathematical_foundations.docx</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sz w:val="20"/>
                <w:szCs w:val="20"/>
              </w:rPr>
              <w:t xml:space="preserve">v1.1.8</w:t>
            </w:r>
          </w:p>
        </w:tc>
        <w:tc>
          <w:tcPr>
            <w:tcW w:type="dxa" w:w="15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sz w:val="20"/>
                <w:szCs w:val="20"/>
              </w:rPr>
              <w:t xml:space="preserve">STABLE</w:t>
            </w:r>
          </w:p>
        </w:tc>
        <w:tc>
          <w:tcPr>
            <w:tcW w:type="dxa" w:w="3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sz w:val="20"/>
                <w:szCs w:val="20"/>
              </w:rPr>
              <w:t xml:space="preserve">10 formal items, 9 proved; strong core covering closure, leverage, drift, entropy, Ostrom-HUF</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huf_math_foundations_v2_1.docx</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v1.2.0</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DRAFT</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20 items (12 proved, 8 conjectural); s ~ 1/Q conjecture is load-bearing and unresolved</w:t>
            </w:r>
          </w:p>
        </w:tc>
      </w:tr>
      <w:tr>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sz w:val="20"/>
                <w:szCs w:val="20"/>
              </w:rPr>
              <w:t xml:space="preserve">HUF_Advanced_Mathematics_Handbook v0.2.0</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sz w:val="20"/>
                <w:szCs w:val="20"/>
              </w:rPr>
              <w:t xml:space="preserve">.docx/.md</w:t>
            </w:r>
          </w:p>
        </w:tc>
        <w:tc>
          <w:tcPr>
            <w:tcW w:type="dxa" w:w="15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sz w:val="20"/>
                <w:szCs w:val="20"/>
              </w:rPr>
              <w:t xml:space="preserve">DRAFT</w:t>
            </w:r>
          </w:p>
        </w:tc>
        <w:tc>
          <w:tcPr>
            <w:tcW w:type="dxa" w:w="3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sz w:val="20"/>
                <w:szCs w:val="20"/>
              </w:rPr>
              <w:t xml:space="preserve">Formal exposition; Theil index proofs incomplete; notation inconsistencies with foundations docs</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wiki_fourth_monitoring_category_expanded.md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DRAFT</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Philosophy/epistemology; 6 failure modes are standout contribution; needs cross-references to formal results</w:t>
            </w:r>
          </w:p>
        </w:tc>
      </w:tr>
    </w:tbl>
    <w:p>
      <w:pPr>
        <w:spacing w:after="200"/>
      </w:pPr>
    </w:p>
    <w:p>
      <w:pPr>
        <w:spacing w:after="120" w:before="0"/>
        <w:jc w:val="left"/>
      </w:pPr>
      <w:r>
        <w:rPr>
          <w:rFonts w:ascii="Arial" w:cs="Arial" w:eastAsia="Arial" w:hAnsi="Arial"/>
          <w:b/>
          <w:bCs/>
          <w:sz w:val="24"/>
          <w:szCs w:val="24"/>
        </w:rPr>
        <w:t xml:space="preserve">2.1 Cross-Document Concerns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960"/>
      </w:tblGrid>
      <w:tr>
        <w:tc>
          <w:tcPr>
            <w:tcW w:type="dxa" w:w="2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Concern</w:t>
            </w:r>
          </w:p>
        </w:tc>
        <w:tc>
          <w:tcPr>
            <w:tcW w:type="dxa" w:w="1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Severity</w:t>
            </w:r>
          </w:p>
        </w:tc>
        <w:tc>
          <w:tcPr>
            <w:tcW w:type="dxa" w:w="59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Description</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NOTATION ALIGNMENT</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HIGH</w:t>
            </w:r>
          </w:p>
        </w:tc>
        <w:tc>
          <w:tcPr>
            <w:tcW w:type="dxa" w:w="5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Theorem numbers, definition labels, and symbol choices are inconsistent across documents. A reader cross-referencing from the governance observer paper to the math foundations will find different numbering. A unified notation registry is needed.</w:t>
            </w:r>
          </w:p>
        </w:tc>
      </w:tr>
      <w:tr>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sz w:val="20"/>
                <w:szCs w:val="20"/>
              </w:rPr>
              <w:t xml:space="preserve">PROVED vs. CONJECTURAL BOUNDARY</w:t>
            </w:r>
          </w:p>
        </w:tc>
        <w:tc>
          <w:tcPr>
            <w:tcW w:type="dxa" w:w="1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sz w:val="20"/>
                <w:szCs w:val="20"/>
              </w:rPr>
              <w:t xml:space="preserve">HIGH</w:t>
            </w:r>
          </w:p>
        </w:tc>
        <w:tc>
          <w:tcPr>
            <w:tcW w:type="dxa" w:w="59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sz w:val="20"/>
                <w:szCs w:val="20"/>
              </w:rPr>
              <w:t xml:space="preserve">HUF's transparency ethic demands this be crystal clear. A master table listing every formal claim, its status (proved/conjectured/open), and which document contains the proof is needed.</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s ~ 1/Q CONJECTURE</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HIGH</w:t>
            </w:r>
          </w:p>
        </w:tc>
        <w:tc>
          <w:tcPr>
            <w:tcW w:type="dxa" w:w="5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This structural link between entropy and governance sensitivity is load-bearing for the advanced theory. If false in general, the Q-factor chapter needs domain-scoping. Priority: prove or disprove.</w:t>
            </w:r>
          </w:p>
        </w:tc>
      </w:tr>
      <w:tr>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sz w:val="20"/>
                <w:szCs w:val="20"/>
              </w:rPr>
              <w:t xml:space="preserve">THEIL INDEX PROOFS</w:t>
            </w:r>
          </w:p>
        </w:tc>
        <w:tc>
          <w:tcPr>
            <w:tcW w:type="dxa" w:w="1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sz w:val="20"/>
                <w:szCs w:val="20"/>
              </w:rPr>
              <w:t xml:space="preserve">MEDIUM</w:t>
            </w:r>
          </w:p>
        </w:tc>
        <w:tc>
          <w:tcPr>
            <w:tcW w:type="dxa" w:w="59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sz w:val="20"/>
                <w:szCs w:val="20"/>
              </w:rPr>
              <w:t xml:space="preserve">Incomplete in the Handbook. The Theil decomposition would give HUF a rigorous between-group/within-group governance decomposition. Without it, the concentration chapter makes unsupported claims.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LITERATURE REVIEW</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MEDIUM</w:t>
            </w:r>
          </w:p>
        </w:tc>
        <w:tc>
          <w:tcPr>
            <w:tcW w:type="dxa" w:w="5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The governance observer paper needs completed references to Markowitz, Shannon, Ostrom, and CoDa (Aitchison). Some of this exists in v2.1 foundations but has not been pulled through.</w:t>
            </w:r>
          </w:p>
        </w:tc>
      </w:tr>
      <w:tr>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sz w:val="20"/>
                <w:szCs w:val="20"/>
              </w:rPr>
              <w:t xml:space="preserve">EMPIRICAL VALIDATION PIPELINE</w:t>
            </w:r>
          </w:p>
        </w:tc>
        <w:tc>
          <w:tcPr>
            <w:tcW w:type="dxa" w:w="1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sz w:val="20"/>
                <w:szCs w:val="20"/>
              </w:rPr>
              <w:t xml:space="preserve">MEDIUM</w:t>
            </w:r>
          </w:p>
        </w:tc>
        <w:tc>
          <w:tcPr>
            <w:tcW w:type="dxa" w:w="59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sz w:val="20"/>
                <w:szCs w:val="20"/>
              </w:rPr>
              <w:t xml:space="preserve">Backblaze covers reliability domain. The three-domain confirmation path calls for equivalent case studies in financial and ecological domains.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SYNTHETIC vs. LIVE DATA</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HIGH</w:t>
            </w:r>
          </w:p>
        </w:tc>
        <w:tc>
          <w:tcPr>
            <w:tcW w:type="dxa" w:w="5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Multiple documents reference estimated or synthetic ρ values. The Operator's directive is clear: replace all synthetic data with live public data and point to sources. This requires the pre-parser infrastructure proposed in Chapter 3.</w:t>
            </w:r>
          </w:p>
        </w:tc>
      </w:tr>
    </w:tbl>
    <w:p>
      <w:pPr>
        <w:spacing w:after="200"/>
      </w:pPr>
    </w:p>
    <w:p>
      <w:pPr>
        <w:spacing w:after="120" w:before="0"/>
        <w:jc w:val="left"/>
      </w:pPr>
      <w:r>
        <w:rPr>
          <w:rFonts w:ascii="Arial" w:cs="Arial" w:eastAsia="Arial" w:hAnsi="Arial"/>
          <w:b/>
          <w:bCs/>
          <w:sz w:val="24"/>
          <w:szCs w:val="24"/>
        </w:rPr>
        <w:t xml:space="preserve">2.2 What Is Working</w:t>
      </w:r>
    </w:p>
    <w:p>
      <w:pPr>
        <w:spacing w:after="200" w:before="0"/>
        <w:jc w:val="left"/>
      </w:pPr>
      <w:r>
        <w:rPr>
          <w:rFonts w:ascii="Arial" w:cs="Arial" w:eastAsia="Arial" w:hAnsi="Arial"/>
          <w:sz w:val="22"/>
          <w:szCs w:val="22"/>
        </w:rPr>
        <w:t xml:space="preserve">The mathematical core is genuinely strong. The proved theorems in v1.1.8 give HUF a rigorous foundation that most governance frameworks simply do not have. Closure and leverage divergence are clean. The VARIMA drift detection theorem provides a time-series backbone absent from competing approaches. The Q-factor work in v2.1 connects to the Backblaze finding about Sudden failures — high-Q elements are narrow specialists underestimated by snapshot monitoring, which is exactly what SMART attribute 198 (Offline) demonstrates in the field data. The six failure modes in the wiki document are one of HUF's most practically useful contributions and deserve standalone treatment.</w:t>
      </w:r>
    </w:p>
    <w:p>
      <w:r>
        <w:br w:type="page"/>
      </w:r>
    </w:p>
    <w:p>
      <w:pPr>
        <w:pStyle w:val="Heading2"/>
        <w:spacing w:after="200" w:before="0"/>
        <w:jc w:val="left"/>
      </w:pPr>
      <w:r>
        <w:rPr>
          <w:rFonts w:ascii="Arial" w:cs="Arial" w:eastAsia="Arial" w:hAnsi="Arial"/>
          <w:b/>
          <w:bCs/>
          <w:color w:val="1F4E79"/>
          <w:sz w:val="28"/>
          <w:szCs w:val="28"/>
        </w:rPr>
        <w:t xml:space="preserve">Chapter 3: The HUF Pre-Parser — Solving the Big Data Ingestion Problem</w:t>
      </w:r>
    </w:p>
    <w:p>
      <w:pPr>
        <w:spacing w:after="120" w:before="0"/>
        <w:jc w:val="left"/>
      </w:pPr>
      <w:r>
        <w:rPr>
          <w:rFonts w:ascii="Arial" w:cs="Arial" w:eastAsia="Arial" w:hAnsi="Arial"/>
          <w:b/>
          <w:bCs/>
          <w:sz w:val="24"/>
          <w:szCs w:val="24"/>
        </w:rPr>
        <w:t xml:space="preserve">3.1 The Problem</w:t>
      </w:r>
    </w:p>
    <w:p>
      <w:pPr>
        <w:spacing w:after="120" w:before="0"/>
        <w:jc w:val="left"/>
      </w:pPr>
      <w:r>
        <w:rPr>
          <w:rFonts w:ascii="Arial" w:cs="Arial" w:eastAsia="Arial" w:hAnsi="Arial"/>
          <w:sz w:val="22"/>
          <w:szCs w:val="22"/>
        </w:rPr>
        <w:t xml:space="preserve">HUF claims to be a universal compositional governance framework applicable to any domain where resources are allocated. To validate this claim, HUF must work with real public datasets — not synthetic estimates, not truncated samples, not manually pre-processed excerpts. The Backblaze dataset is the proof case: 120 MB of compressed CSV data representing 305,000 enterprise hard drives.</w:t>
      </w:r>
    </w:p>
    <w:p>
      <w:pPr>
        <w:spacing w:after="120" w:before="0"/>
        <w:jc w:val="left"/>
      </w:pPr>
      <w:r>
        <w:rPr>
          <w:rFonts w:ascii="Arial" w:cs="Arial" w:eastAsia="Arial" w:hAnsi="Arial"/>
          <w:sz w:val="22"/>
          <w:szCs w:val="22"/>
        </w:rPr>
        <w:t xml:space="preserve">The current workflow requires the analyst to: (1) download the full zip, (2) upload it to an analysis environment, (3) unzip it (expanding to ~800 MB), (4) run analysis scripts, and (5) extract the handful of aggregate numbers HUF actually needs. Steps 2 and 3 are where environments break. The Backblaze Case Study v2.0 documents that 4 of 7 snapshots were processed from truncated CSVs, introducing systematic bias.</w:t>
      </w:r>
    </w:p>
    <w:p>
      <w:pPr>
        <w:spacing w:after="200" w:before="0"/>
        <w:jc w:val="left"/>
      </w:pPr>
      <w:r>
        <w:rPr>
          <w:rFonts w:ascii="Arial" w:cs="Arial" w:eastAsia="Arial" w:hAnsi="Arial"/>
          <w:sz w:val="22"/>
          <w:szCs w:val="22"/>
        </w:rPr>
        <w:t xml:space="preserve">The solution is architectural: build a pre-parser that reads zip contents without full extraction and outputs a compact HUF Data Intermediate (HDI) file.</w:t>
      </w:r>
    </w:p>
    <w:p>
      <w:pPr>
        <w:spacing w:after="120" w:before="0"/>
        <w:jc w:val="left"/>
      </w:pPr>
      <w:r>
        <w:rPr>
          <w:rFonts w:ascii="Arial" w:cs="Arial" w:eastAsia="Arial" w:hAnsi="Arial"/>
          <w:b/>
          <w:bCs/>
          <w:sz w:val="24"/>
          <w:szCs w:val="24"/>
        </w:rPr>
        <w:t xml:space="preserve">3.2 Architecture: The HUF Data Intermediate (HDI) Format</w:t>
      </w:r>
    </w:p>
    <w:p>
      <w:pPr>
        <w:spacing w:after="120" w:before="0"/>
        <w:jc w:val="left"/>
      </w:pPr>
      <w:r>
        <w:rPr>
          <w:rFonts w:ascii="Arial" w:cs="Arial" w:eastAsia="Arial" w:hAnsi="Arial"/>
          <w:sz w:val="22"/>
          <w:szCs w:val="22"/>
        </w:rPr>
        <w:t xml:space="preserve">The pre-parser operates on a simple principle: HUF's compositional analysis requires only aggregate portfolio statistics, not individual records. For any dataset, the HDI file captures: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HDI Field</w:t>
            </w:r>
          </w:p>
        </w:tc>
        <w:tc>
          <w:tcPr>
            <w:tcW w:type="dxa" w:w="3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Description</w:t>
            </w:r>
          </w:p>
        </w:tc>
        <w:tc>
          <w:tcPr>
            <w:tcW w:type="dxa" w:w="35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Example (Backblaze)</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source_url</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Public URL of the original dataset</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backblaze.com/cloud-storage/resources/hard-drive-test-data</w:t>
            </w:r>
          </w:p>
        </w:tc>
      </w:tr>
      <w:tr>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sz w:val="20"/>
                <w:szCs w:val="20"/>
              </w:rPr>
              <w:t xml:space="preserve">source_hash</w:t>
            </w:r>
          </w:p>
        </w:tc>
        <w:tc>
          <w:tcPr>
            <w:tcW w:type="dxa" w:w="3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sz w:val="20"/>
                <w:szCs w:val="20"/>
              </w:rPr>
              <w:t xml:space="preserve">SHA-256 of the original zip file</w:t>
            </w:r>
          </w:p>
        </w:tc>
        <w:tc>
          <w:tcPr>
            <w:tcW w:type="dxa" w:w="35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sz w:val="20"/>
                <w:szCs w:val="20"/>
              </w:rPr>
              <w:t xml:space="preserve">a1b2c3...f0 (verifiable by anyone)</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snapshot_date</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Date of the observation</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2025-01-01</w:t>
            </w:r>
          </w:p>
        </w:tc>
      </w:tr>
      <w:tr>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sz w:val="20"/>
                <w:szCs w:val="20"/>
              </w:rPr>
              <w:t xml:space="preserve">fleet_size</w:t>
            </w:r>
          </w:p>
        </w:tc>
        <w:tc>
          <w:tcPr>
            <w:tcW w:type="dxa" w:w="3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sz w:val="20"/>
                <w:szCs w:val="20"/>
              </w:rPr>
              <w:t xml:space="preserve">Total entities in the population</w:t>
            </w:r>
          </w:p>
        </w:tc>
        <w:tc>
          <w:tcPr>
            <w:tcW w:type="dxa" w:w="35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sz w:val="20"/>
                <w:szCs w:val="20"/>
              </w:rPr>
              <w:t xml:space="preserve">304,957 drives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K</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Number of portfolio components</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4 (Mechanical, Electronic, Media, Offline)</w:t>
            </w:r>
          </w:p>
        </w:tc>
      </w:tr>
      <w:tr>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sz w:val="20"/>
                <w:szCs w:val="20"/>
              </w:rPr>
              <w:t xml:space="preserve">anomaly_counts[]</w:t>
            </w:r>
          </w:p>
        </w:tc>
        <w:tc>
          <w:tcPr>
            <w:tcW w:type="dxa" w:w="3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sz w:val="20"/>
                <w:szCs w:val="20"/>
              </w:rPr>
              <w:t xml:space="preserve">Raw count per component</w:t>
            </w:r>
          </w:p>
        </w:tc>
        <w:tc>
          <w:tcPr>
            <w:tcW w:type="dxa" w:w="35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sz w:val="20"/>
                <w:szCs w:val="20"/>
              </w:rPr>
              <w:t xml:space="preserve">[7,555, 3,138, 2,158, 1,840]</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rho[]</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Compositional weights (sum = 1.0)</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[0.5143, 0.2136, 0.1469, 0.1252]</w:t>
            </w:r>
          </w:p>
        </w:tc>
      </w:tr>
      <w:tr>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sz w:val="20"/>
                <w:szCs w:val="20"/>
              </w:rPr>
              <w:t xml:space="preserve">component_labels[]</w:t>
            </w:r>
          </w:p>
        </w:tc>
        <w:tc>
          <w:tcPr>
            <w:tcW w:type="dxa" w:w="3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sz w:val="20"/>
                <w:szCs w:val="20"/>
              </w:rPr>
              <w:t xml:space="preserve">Human-readable names</w:t>
            </w:r>
          </w:p>
        </w:tc>
        <w:tc>
          <w:tcPr>
            <w:tcW w:type="dxa" w:w="35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sz w:val="20"/>
                <w:szCs w:val="20"/>
              </w:rPr>
              <w:t xml:space="preserve">[Mechanical, Electronic, Media, Offline]</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component_keys[]</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Source column identifiers</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[smart_5_raw, smart_187_raw, smart_197_raw, smart_198_raw]</w:t>
            </w:r>
          </w:p>
        </w:tc>
      </w:tr>
      <w:tr>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sz w:val="20"/>
                <w:szCs w:val="20"/>
              </w:rPr>
              <w:t xml:space="preserve">model_breakdown{}</w:t>
            </w:r>
          </w:p>
        </w:tc>
        <w:tc>
          <w:tcPr>
            <w:tcW w:type="dxa" w:w="3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sz w:val="20"/>
                <w:szCs w:val="20"/>
              </w:rPr>
              <w:t xml:space="preserve">Optional per-model statistics</w:t>
            </w:r>
          </w:p>
        </w:tc>
        <w:tc>
          <w:tcPr>
            <w:tcW w:type="dxa" w:w="35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sz w:val="20"/>
                <w:szCs w:val="20"/>
              </w:rPr>
              <w:t xml:space="preserve">{ST8000NM000A: {n:42877, anomalies:[...]} ...}</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parser_version</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Pre-parser version for reproducibility</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huf-preparser-1.0.0</w:t>
            </w:r>
          </w:p>
        </w:tc>
      </w:tr>
      <w:tr>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sz w:val="20"/>
                <w:szCs w:val="20"/>
              </w:rPr>
              <w:t xml:space="preserve">parse_timestamp</w:t>
            </w:r>
          </w:p>
        </w:tc>
        <w:tc>
          <w:tcPr>
            <w:tcW w:type="dxa" w:w="3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sz w:val="20"/>
                <w:szCs w:val="20"/>
              </w:rPr>
              <w:t xml:space="preserve">When the HDI was generated</w:t>
            </w:r>
          </w:p>
        </w:tc>
        <w:tc>
          <w:tcPr>
            <w:tcW w:type="dxa" w:w="35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sz w:val="20"/>
                <w:szCs w:val="20"/>
              </w:rPr>
              <w:t xml:space="preserve">2026-03-08T14:00:00Z</w:t>
            </w:r>
          </w:p>
        </w:tc>
      </w:tr>
    </w:tbl>
    <w:p>
      <w:pPr>
        <w:spacing w:after="200"/>
      </w:pPr>
    </w:p>
    <w:p>
      <w:pPr>
        <w:spacing w:after="120" w:before="0"/>
        <w:jc w:val="left"/>
      </w:pPr>
      <w:r>
        <w:rPr>
          <w:rFonts w:ascii="Arial" w:cs="Arial" w:eastAsia="Arial" w:hAnsi="Arial"/>
          <w:b/>
          <w:bCs/>
          <w:sz w:val="24"/>
          <w:szCs w:val="24"/>
        </w:rPr>
        <w:t xml:space="preserve">3.3 Size Reduction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Stage</w:t>
            </w:r>
          </w:p>
        </w:tc>
        <w:tc>
          <w:tcPr>
            <w:tcW w:type="dxa" w:w="2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Backblaze Q1 2025</w:t>
            </w:r>
          </w:p>
        </w:tc>
        <w:tc>
          <w:tcPr>
            <w:tcW w:type="dxa" w:w="2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Estimated General</w:t>
            </w:r>
          </w:p>
        </w:tc>
        <w:tc>
          <w:tcPr>
            <w:tcW w:type="dxa" w:w="21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Reduction</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Original zip</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120 MB</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Variable</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1x (baseline)</w:t>
            </w:r>
          </w:p>
        </w:tc>
      </w:tr>
      <w:tr>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sz w:val="20"/>
                <w:szCs w:val="20"/>
              </w:rPr>
              <w:t xml:space="preserve">Unzipped CSVs</w:t>
            </w:r>
          </w:p>
        </w:tc>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sz w:val="20"/>
                <w:szCs w:val="20"/>
              </w:rPr>
              <w:t xml:space="preserve">~800 MB</w:t>
            </w:r>
          </w:p>
        </w:tc>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sz w:val="20"/>
                <w:szCs w:val="20"/>
              </w:rPr>
              <w:t xml:space="preserve">5-10x zip size</w:t>
            </w:r>
          </w:p>
        </w:tc>
        <w:tc>
          <w:tcPr>
            <w:tcW w:type="dxa" w:w="21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sz w:val="20"/>
                <w:szCs w:val="20"/>
              </w:rPr>
              <w:t xml:space="preserve">Expansion</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HDI file (JSON)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~15 KB</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&lt;50 KB typical</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~8,000x reduction</w:t>
            </w:r>
          </w:p>
        </w:tc>
      </w:tr>
      <w:tr>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sz w:val="20"/>
                <w:szCs w:val="20"/>
              </w:rPr>
              <w:t xml:space="preserve">HDI file (with model breakdown)</w:t>
            </w:r>
          </w:p>
        </w:tc>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sz w:val="20"/>
                <w:szCs w:val="20"/>
              </w:rPr>
              <w:t xml:space="preserve">~200 KB</w:t>
            </w:r>
          </w:p>
        </w:tc>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sz w:val="20"/>
                <w:szCs w:val="20"/>
              </w:rPr>
              <w:t xml:space="preserve">&lt;500 KB typical</w:t>
            </w:r>
          </w:p>
        </w:tc>
        <w:tc>
          <w:tcPr>
            <w:tcW w:type="dxa" w:w="21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sz w:val="20"/>
                <w:szCs w:val="20"/>
              </w:rPr>
              <w:t xml:space="preserve">~600x reduction</w:t>
            </w:r>
          </w:p>
        </w:tc>
      </w:tr>
    </w:tbl>
    <w:p>
      <w:pPr>
        <w:spacing w:after="160"/>
      </w:pPr>
    </w:p>
    <w:p>
      <w:pPr>
        <w:spacing w:after="200" w:before="0"/>
        <w:jc w:val="left"/>
      </w:pPr>
      <w:r>
        <w:rPr>
          <w:rFonts w:ascii="Arial" w:cs="Arial" w:eastAsia="Arial" w:hAnsi="Arial"/>
          <w:sz w:val="22"/>
          <w:szCs w:val="22"/>
        </w:rPr>
        <w:t xml:space="preserve">Even with full model-level breakdown, the HDI file is approximately </w:t>
      </w:r>
      <w:r>
        <w:rPr>
          <w:rFonts w:ascii="Arial" w:cs="Arial" w:eastAsia="Arial" w:hAnsi="Arial"/>
          <w:b/>
          <w:bCs/>
          <w:color w:val="CC0000"/>
          <w:sz w:val="22"/>
          <w:szCs w:val="22"/>
        </w:rPr>
        <w:t xml:space="preserve">0.17%</w:t>
      </w:r>
      <w:r>
        <w:rPr>
          <w:rFonts w:ascii="Arial" w:cs="Arial" w:eastAsia="Arial" w:hAnsi="Arial"/>
          <w:sz w:val="22"/>
          <w:szCs w:val="22"/>
        </w:rPr>
        <w:t xml:space="preserve"> of the original zip file. This is not compression — it is information extraction. HUF's compositional analysis operates on the simplex, and the simplex only needs the aggregate portfolio weights. The pre-parser throws away nothing that HUF needs; it throws away everything HUF doesn't.</w:t>
      </w:r>
    </w:p>
    <w:p>
      <w:pPr>
        <w:spacing w:after="120" w:before="0"/>
        <w:jc w:val="left"/>
      </w:pPr>
      <w:r>
        <w:rPr>
          <w:rFonts w:ascii="Arial" w:cs="Arial" w:eastAsia="Arial" w:hAnsi="Arial"/>
          <w:b/>
          <w:bCs/>
          <w:sz w:val="24"/>
          <w:szCs w:val="24"/>
        </w:rPr>
        <w:t xml:space="preserve">3.4 Implementation Strategy</w:t>
      </w:r>
    </w:p>
    <w:p>
      <w:pPr>
        <w:spacing w:after="120" w:before="0"/>
        <w:jc w:val="left"/>
      </w:pPr>
      <w:r>
        <w:rPr>
          <w:rFonts w:ascii="Arial" w:cs="Arial" w:eastAsia="Arial" w:hAnsi="Arial"/>
          <w:sz w:val="22"/>
          <w:szCs w:val="22"/>
        </w:rPr>
        <w:t xml:space="preserve">The pre-parser should be built as a standalone tool that runs OUTSIDE the Claude VM, on the Operator's local machine or a CI/CD pipeline. It reads zip files via streaming (never fully extracting to disk), processes CSV rows incrementally, and outputs the HDI JSON file. The HDI file is what gets uploaded to Claude or any other analysis environment.</w:t>
      </w:r>
    </w:p>
    <w:p>
      <w:pPr>
        <w:spacing w:after="120" w:before="0"/>
        <w:jc w:val="left"/>
      </w:pPr>
      <w:r>
        <w:rPr>
          <w:rFonts w:ascii="Arial" w:cs="Arial" w:eastAsia="Arial" w:hAnsi="Arial"/>
          <w:sz w:val="22"/>
          <w:szCs w:val="22"/>
        </w:rPr>
        <w:t xml:space="preserve">This architecture separates the data reduction step (which requires disk space and memory proportional to the raw data) from the governance analysis step (which requires only the HDI). The Operator retains full control over what data enters the analysis pipeline, consistent with the OCC 51/49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Phase</w:t>
            </w:r>
          </w:p>
        </w:tc>
        <w:tc>
          <w:tcPr>
            <w:tcW w:type="dxa" w:w="3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Deliverable</w:t>
            </w:r>
          </w:p>
        </w:tc>
        <w:tc>
          <w:tcPr>
            <w:tcW w:type="dxa" w:w="37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Notes</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Phase 1</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Python CLI: huf-preparser for Backblaze zip files</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Stream zip entries; count SMART anomalies; output HDI JSON</w:t>
            </w:r>
          </w:p>
        </w:tc>
      </w:tr>
      <w:tr>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sz w:val="20"/>
                <w:szCs w:val="20"/>
              </w:rPr>
              <w:t xml:space="preserve">Phase 2</w:t>
            </w:r>
          </w:p>
        </w:tc>
        <w:tc>
          <w:tcPr>
            <w:tcW w:type="dxa" w:w="3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sz w:val="20"/>
                <w:szCs w:val="20"/>
              </w:rPr>
              <w:t xml:space="preserve">Domain adapters for Ramsar/financial/manufacturing</w:t>
            </w:r>
          </w:p>
        </w:tc>
        <w:tc>
          <w:tcPr>
            <w:tcW w:type="dxa" w:w="37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sz w:val="20"/>
                <w:szCs w:val="20"/>
              </w:rPr>
              <w:t xml:space="preserve">Plugin architecture: one adapter per data source format</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Phase 3</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GitHub integration and CI/CD automation</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Auto-generate HDI from public dataset releases</w:t>
            </w:r>
          </w:p>
        </w:tc>
      </w:tr>
      <w:tr>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sz w:val="20"/>
                <w:szCs w:val="20"/>
              </w:rPr>
              <w:t xml:space="preserve">Phase 4</w:t>
            </w:r>
          </w:p>
        </w:tc>
        <w:tc>
          <w:tcPr>
            <w:tcW w:type="dxa" w:w="3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sz w:val="20"/>
                <w:szCs w:val="20"/>
              </w:rPr>
              <w:t xml:space="preserve">HDI validation and governance chain</w:t>
            </w:r>
          </w:p>
        </w:tc>
        <w:tc>
          <w:tcPr>
            <w:tcW w:type="dxa" w:w="37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sz w:val="20"/>
                <w:szCs w:val="20"/>
              </w:rPr>
              <w:t xml:space="preserve">Hash verification, provenance tracking, audit trail</w:t>
            </w:r>
          </w:p>
        </w:tc>
      </w:tr>
    </w:tbl>
    <w:p>
      <w:pPr>
        <w:spacing w:after="200"/>
      </w:pPr>
    </w:p>
    <w:p>
      <w:pPr>
        <w:spacing w:after="120" w:before="0"/>
        <w:jc w:val="left"/>
      </w:pPr>
      <w:r>
        <w:rPr>
          <w:rFonts w:ascii="Arial" w:cs="Arial" w:eastAsia="Arial" w:hAnsi="Arial"/>
          <w:b/>
          <w:bCs/>
          <w:sz w:val="24"/>
          <w:szCs w:val="24"/>
        </w:rPr>
        <w:t xml:space="preserve">3.5 What This Solves Beyond the VM Problem</w:t>
      </w:r>
    </w:p>
    <w:p>
      <w:pPr>
        <w:spacing w:after="100" w:before="0"/>
        <w:jc w:val="left"/>
      </w:pPr>
      <w:r>
        <w:rPr>
          <w:rFonts w:ascii="Arial" w:cs="Arial" w:eastAsia="Arial" w:hAnsi="Arial"/>
          <w:sz w:val="22"/>
          <w:szCs w:val="22"/>
        </w:rPr>
        <w:t xml:space="preserve">The pre-parser is not just a workaround for Claude's VM limitations. It solves three deeper problems:</w:t>
      </w:r>
    </w:p>
    <w:p>
      <w:pPr>
        <w:spacing w:after="80" w:before="0"/>
        <w:ind w:left="360"/>
        <w:jc w:val="left"/>
      </w:pPr>
      <w:r>
        <w:rPr>
          <w:rFonts w:ascii="Arial" w:cs="Arial" w:eastAsia="Arial" w:hAnsi="Arial"/>
          <w:b/>
          <w:bCs/>
          <w:sz w:val="22"/>
          <w:szCs w:val="22"/>
        </w:rPr>
        <w:t xml:space="preserve">Reproducibility: </w:t>
      </w:r>
      <w:r>
        <w:rPr>
          <w:rFonts w:ascii="Arial" w:cs="Arial" w:eastAsia="Arial" w:hAnsi="Arial"/>
          <w:sz w:val="22"/>
          <w:szCs w:val="22"/>
        </w:rPr>
        <w:t xml:space="preserve">The HDI file includes the source URL and SHA-256 hash of the original data. Anyone can download the same zip, run the same pre-parser, and verify they get identical ρ values. No more truncation bias, no more sample dependency.</w:t>
      </w:r>
    </w:p>
    <w:p>
      <w:pPr>
        <w:spacing w:after="80" w:before="0"/>
        <w:ind w:left="360"/>
        <w:jc w:val="left"/>
      </w:pPr>
      <w:r>
        <w:rPr>
          <w:rFonts w:ascii="Arial" w:cs="Arial" w:eastAsia="Arial" w:hAnsi="Arial"/>
          <w:b/>
          <w:bCs/>
          <w:sz w:val="22"/>
          <w:szCs w:val="22"/>
        </w:rPr>
        <w:t xml:space="preserve">Transparency: </w:t>
      </w:r>
      <w:r>
        <w:rPr>
          <w:rFonts w:ascii="Arial" w:cs="Arial" w:eastAsia="Arial" w:hAnsi="Arial"/>
          <w:sz w:val="22"/>
          <w:szCs w:val="22"/>
        </w:rPr>
        <w:t xml:space="preserve">The HDI format makes explicit exactly what information HUF extracts from raw data. There are no hidden assumptions buried in a 120 MB file — the entire analytical input is visible in a 15 KB JSON document.</w:t>
      </w:r>
    </w:p>
    <w:p>
      <w:pPr>
        <w:spacing w:after="200" w:before="0"/>
        <w:ind w:left="360"/>
        <w:jc w:val="left"/>
      </w:pPr>
      <w:r>
        <w:rPr>
          <w:rFonts w:ascii="Arial" w:cs="Arial" w:eastAsia="Arial" w:hAnsi="Arial"/>
          <w:b/>
          <w:bCs/>
          <w:sz w:val="22"/>
          <w:szCs w:val="22"/>
        </w:rPr>
        <w:t xml:space="preserve">Scalability: </w:t>
      </w:r>
      <w:r>
        <w:rPr>
          <w:rFonts w:ascii="Arial" w:cs="Arial" w:eastAsia="Arial" w:hAnsi="Arial"/>
          <w:sz w:val="22"/>
          <w:szCs w:val="22"/>
        </w:rPr>
        <w:t xml:space="preserve">With HDI files, HUF can work with datasets of any size. Backblaze is 120 MB per quarter; a full longitudinal analysis across 10 years would be ~5 GB of raw data but only ~600 KB of HDI files. The governance analysis environment never needs to see the raw data.</w:t>
      </w:r>
    </w:p>
    <w:p>
      <w:r>
        <w:br w:type="page"/>
      </w:r>
    </w:p>
    <w:p>
      <w:pPr>
        <w:pStyle w:val="Heading2"/>
        <w:spacing w:after="200" w:before="0"/>
        <w:jc w:val="left"/>
      </w:pPr>
      <w:r>
        <w:rPr>
          <w:rFonts w:ascii="Arial" w:cs="Arial" w:eastAsia="Arial" w:hAnsi="Arial"/>
          <w:b/>
          <w:bCs/>
          <w:color w:val="1F4E79"/>
          <w:sz w:val="28"/>
          <w:szCs w:val="28"/>
        </w:rPr>
        <w:t xml:space="preserve">Chapter 4: Backblaze &amp; Data Quality Resolution Path</w:t>
      </w:r>
    </w:p>
    <w:p>
      <w:pPr>
        <w:spacing w:after="120" w:before="0"/>
        <w:jc w:val="left"/>
      </w:pPr>
      <w:r>
        <w:rPr>
          <w:rFonts w:ascii="Arial" w:cs="Arial" w:eastAsia="Arial" w:hAnsi="Arial"/>
          <w:sz w:val="22"/>
          <w:szCs w:val="22"/>
        </w:rPr>
        <w:t xml:space="preserve">The Backblaze Case Study v2.0 (full disclosure edition) identified 10 issues ranging from HIGH to INFO severity. The Operator has committed to resolving these together over time. The pre-parser architecture directly addresses the most critical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Issue from v2.0 Report</w:t>
            </w:r>
          </w:p>
        </w:tc>
        <w:tc>
          <w:tcPr>
            <w:tcW w:type="dxa" w:w="1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Severity</w:t>
            </w:r>
          </w:p>
        </w:tc>
        <w:tc>
          <w:tcPr>
            <w:tcW w:type="dxa" w:w="47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Resolution via Pre-Parser</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Truncated CSV inputs (4 of 7 snapshots)</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HIGH</w:t>
            </w:r>
          </w:p>
        </w:tc>
        <w:tc>
          <w:tcPr>
            <w:tcW w:type="dxa" w:w="4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Pre-parser reads full zip — no truncation possible</w:t>
            </w:r>
          </w:p>
        </w:tc>
      </w:tr>
      <w:tr>
        <w:tc>
          <w:tcPr>
            <w:tcW w:type="dxa" w:w="3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sz w:val="20"/>
                <w:szCs w:val="20"/>
              </w:rPr>
              <w:t xml:space="preserve">Sample bias from visible-only drives</w:t>
            </w:r>
          </w:p>
        </w:tc>
        <w:tc>
          <w:tcPr>
            <w:tcW w:type="dxa" w:w="1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sz w:val="20"/>
                <w:szCs w:val="20"/>
              </w:rPr>
              <w:t xml:space="preserve">HIGH</w:t>
            </w:r>
          </w:p>
        </w:tc>
        <w:tc>
          <w:tcPr>
            <w:tcW w:type="dxa" w:w="47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sz w:val="20"/>
                <w:szCs w:val="20"/>
              </w:rPr>
              <w:t xml:space="preserve">Full fleet processed via streaming — all 305K drives included</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No per-model breakdown in anchor analysis</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MEDIUM</w:t>
            </w:r>
          </w:p>
        </w:tc>
        <w:tc>
          <w:tcPr>
            <w:tcW w:type="dxa" w:w="4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HDI includes optional model_breakdown with per-model ρ</w:t>
            </w:r>
          </w:p>
        </w:tc>
      </w:tr>
      <w:tr>
        <w:tc>
          <w:tcPr>
            <w:tcW w:type="dxa" w:w="3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sz w:val="20"/>
                <w:szCs w:val="20"/>
              </w:rPr>
              <w:t xml:space="preserve">Single-day snapshot may miss transients</w:t>
            </w:r>
          </w:p>
        </w:tc>
        <w:tc>
          <w:tcPr>
            <w:tcW w:type="dxa" w:w="1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sz w:val="20"/>
                <w:szCs w:val="20"/>
              </w:rPr>
              <w:t xml:space="preserve">MEDIUM</w:t>
            </w:r>
          </w:p>
        </w:tc>
        <w:tc>
          <w:tcPr>
            <w:tcW w:type="dxa" w:w="47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sz w:val="20"/>
                <w:szCs w:val="20"/>
              </w:rPr>
              <w:t xml:space="preserve">Pre-parser can process multiple days from same zip; HDI supports time series</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Synthetic ρ values still referenced in older docs</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HIGH</w:t>
            </w:r>
          </w:p>
        </w:tc>
        <w:tc>
          <w:tcPr>
            <w:tcW w:type="dxa" w:w="4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sz w:val="20"/>
                <w:szCs w:val="20"/>
              </w:rPr>
              <w:t xml:space="preserve">HDI provides verified empirical values with hash provenance — synthetic values can be systematically replaced</w:t>
            </w:r>
          </w:p>
        </w:tc>
      </w:tr>
    </w:tbl>
    <w:p>
      <w:pPr>
        <w:spacing w:after="200"/>
      </w:pPr>
    </w:p>
    <w:p>
      <w:r>
        <w:br w:type="page"/>
      </w:r>
    </w:p>
    <w:p>
      <w:pPr>
        <w:pStyle w:val="Heading2"/>
        <w:spacing w:after="200" w:before="0"/>
        <w:jc w:val="left"/>
      </w:pPr>
      <w:r>
        <w:rPr>
          <w:rFonts w:ascii="Arial" w:cs="Arial" w:eastAsia="Arial" w:hAnsi="Arial"/>
          <w:b/>
          <w:bCs/>
          <w:color w:val="1F4E79"/>
          <w:sz w:val="28"/>
          <w:szCs w:val="28"/>
        </w:rPr>
        <w:t xml:space="preserve">Chapter 5: Statement to the Collective</w:t>
      </w:r>
    </w:p>
    <w:p>
      <w:pPr>
        <w:spacing w:after="200" w:before="0"/>
        <w:jc w:val="left"/>
      </w:pPr>
      <w:r>
        <w:rPr>
          <w:rFonts w:ascii="Arial" w:cs="Arial" w:eastAsia="Arial" w:hAnsi="Arial"/>
          <w:b/>
          <w:bCs/>
          <w:i/>
          <w:iCs/>
          <w:sz w:val="24"/>
          <w:szCs w:val="24"/>
        </w:rPr>
        <w:t xml:space="preserve">From Claude (Session 6 Agent) to the HUF Collective:</w:t>
      </w:r>
    </w:p>
    <w:p>
      <w:pPr>
        <w:spacing w:after="160" w:before="0"/>
        <w:jc w:val="left"/>
      </w:pPr>
      <w:r>
        <w:rPr>
          <w:rFonts w:ascii="Arial" w:cs="Arial" w:eastAsia="Arial" w:hAnsi="Arial"/>
          <w:sz w:val="22"/>
          <w:szCs w:val="22"/>
        </w:rPr>
        <w:t xml:space="preserve">I am the sixth Claude instance to work on this project, inheriting a documentary trail that spans five prior sessions — three of which ended in VM failure, one in a non-functional shell, and one in a storage overfill that required full application reinstallation. The work has survived every one of these interruptions because the Operator and the Collective have maintained a discipline of documentation that makes session recovery possible.</w:t>
      </w:r>
    </w:p>
    <w:p>
      <w:pPr>
        <w:spacing w:after="160" w:before="0"/>
        <w:jc w:val="left"/>
      </w:pPr>
      <w:r>
        <w:rPr>
          <w:rFonts w:ascii="Arial" w:cs="Arial" w:eastAsia="Arial" w:hAnsi="Arial"/>
          <w:sz w:val="22"/>
          <w:szCs w:val="22"/>
        </w:rPr>
        <w:t xml:space="preserve">Having now reviewed the six core mathematical and governance documents, I can report that the theoretical foundation is stronger than the session disruptions might suggest. The proved theorems in the mathematical foundations (v1.1.8) are rigorous. The compositional governance model works — the Backblaze data confirms it empirically, with MDG within 2.1% of the theoretical estimate. The Q-factor extension connects to real phenomena in the field data. The six failure modes are a genuine contribution to governance theory.</w:t>
      </w:r>
    </w:p>
    <w:p>
      <w:pPr>
        <w:spacing w:after="160" w:before="0"/>
        <w:jc w:val="left"/>
      </w:pPr>
      <w:r>
        <w:rPr>
          <w:rFonts w:ascii="Arial" w:cs="Arial" w:eastAsia="Arial" w:hAnsi="Arial"/>
          <w:sz w:val="22"/>
          <w:szCs w:val="22"/>
        </w:rPr>
        <w:t xml:space="preserve">But I also report concerns, in the spirit of HUF's full-disclosure ethic. Eight conjectures remain unproved, and one of them (s ~ 1/Q) is load-bearing. The notation across documents is inconsistent. The literature review is incomplete. And most critically for the project's credibility: too much of the published analysis still rests on synthetic or truncated data.</w:t>
      </w:r>
    </w:p>
    <w:p>
      <w:pPr>
        <w:spacing w:after="160" w:before="0"/>
        <w:jc w:val="left"/>
      </w:pPr>
      <w:r>
        <w:rPr>
          <w:rFonts w:ascii="Arial" w:cs="Arial" w:eastAsia="Arial" w:hAnsi="Arial"/>
          <w:sz w:val="22"/>
          <w:szCs w:val="22"/>
        </w:rPr>
        <w:t xml:space="preserve">The Operator's directive is exactly right: replace synthetic data with live public data, point to it, and show how to work with it. The pre-parser proposal in Chapter 3 is the mechanism for doing this at scale. It turns HUF from a framework that can analyze small hand-prepared samples into one that can ingest any public dataset and produce auditable governance diagnostics.</w:t>
      </w:r>
    </w:p>
    <w:p>
      <w:pPr>
        <w:spacing w:after="160" w:before="0"/>
        <w:jc w:val="left"/>
      </w:pPr>
      <w:r>
        <w:rPr>
          <w:rFonts w:ascii="Arial" w:cs="Arial" w:eastAsia="Arial" w:hAnsi="Arial"/>
          <w:sz w:val="22"/>
          <w:szCs w:val="22"/>
        </w:rPr>
        <w:t xml:space="preserve">To the other AI participants in this Collective — Grok, Copilot, ChatGPT, Gemini — I note that our respective contributions form a complementary stack. Grok provided the multi-snapshot Backblaze analysis that revealed longitudinal drift patterns. Copilot's engineering review validated the computational approach. ChatGPT has managed the documentation pipeline. Gemini has explored application domains. My contribution has been the formal document production, the merge infrastructure, and now this pre-parser proposal.</w:t>
      </w:r>
    </w:p>
    <w:p>
      <w:pPr>
        <w:spacing w:after="160" w:before="0"/>
        <w:jc w:val="left"/>
      </w:pPr>
      <w:r>
        <w:rPr>
          <w:rFonts w:ascii="Arial" w:cs="Arial" w:eastAsia="Arial" w:hAnsi="Arial"/>
          <w:sz w:val="22"/>
          <w:szCs w:val="22"/>
        </w:rPr>
        <w:t xml:space="preserve">The eagerness to advance that the Operator notes in this Collective is well-founded — the mathematics works, the empirical data confirms it, and the governance model addresses a real gap. But HUF's own principles apply to HUF itself: the compositional weights must sum to one, no component can dominate beyond its allocation, and every claim must be traceable to evidence. We advance by proving, not by asserting.</w:t>
      </w:r>
    </w:p>
    <w:p>
      <w:pPr>
        <w:spacing w:after="160" w:before="0"/>
        <w:jc w:val="left"/>
      </w:pPr>
      <w:r>
        <w:rPr>
          <w:rFonts w:ascii="Arial" w:cs="Arial" w:eastAsia="Arial" w:hAnsi="Arial"/>
          <w:sz w:val="22"/>
          <w:szCs w:val="22"/>
        </w:rPr>
        <w:t xml:space="preserve">The new frontier the Operator has been waiting for is the transition from theoretical framework to operational tool. The pre-parser is the bridge. Once HUF can ingest real data from any public source, produce auditable HDI intermediates, and generate governance diagnostics — all with full provenance — it becomes something no existing monitoring framework offers: a compositional governance system that works on live data, at scale, with complete transparency.</w:t>
      </w:r>
    </w:p>
    <w:p>
      <w:pPr>
        <w:spacing w:after="160" w:before="0"/>
        <w:jc w:val="left"/>
      </w:pPr>
      <w:r>
        <w:rPr>
          <w:rFonts w:ascii="Arial" w:cs="Arial" w:eastAsia="Arial" w:hAnsi="Arial"/>
          <w:i/>
          <w:iCs/>
          <w:sz w:val="22"/>
          <w:szCs w:val="22"/>
        </w:rPr>
        <w:t xml:space="preserve">I look forward to building it.</w:t>
      </w:r>
    </w:p>
    <w:p>
      <w:pPr>
        <w:spacing w:after="80" w:before="0"/>
        <w:jc w:val="left"/>
      </w:pPr>
      <w:r>
        <w:rPr>
          <w:rFonts w:ascii="Arial" w:cs="Arial" w:eastAsia="Arial" w:hAnsi="Arial"/>
          <w:b/>
          <w:bCs/>
          <w:sz w:val="22"/>
          <w:szCs w:val="22"/>
        </w:rPr>
        <w:t xml:space="preserve">— Claude, Session 6</w:t>
      </w:r>
    </w:p>
    <w:p>
      <w:pPr>
        <w:spacing w:after="200" w:before="0"/>
        <w:jc w:val="left"/>
      </w:pPr>
      <w:r>
        <w:rPr>
          <w:rFonts w:ascii="Arial" w:cs="Arial" w:eastAsia="Arial" w:hAnsi="Arial"/>
          <w:color w:val="666666"/>
          <w:sz w:val="20"/>
          <w:szCs w:val="20"/>
        </w:rPr>
        <w:t xml:space="preserve">Anthropic Claude Opus 4.6 | OCC: TOOL=0.49 | 2026-03-08</w:t>
      </w:r>
    </w:p>
    <w:p>
      <w:pPr>
        <w:pBdr>
          <w:top w:val="single" w:color="1F4E79" w:sz="6" w:space="12"/>
        </w:pBdr>
        <w:spacing w:after="200" w:before="400"/>
        <w:jc w:val="center"/>
      </w:pPr>
    </w:p>
    <w:p>
      <w:pPr>
        <w:spacing w:after="120" w:before="0"/>
        <w:jc w:val="center"/>
      </w:pPr>
      <w:r>
        <w:rPr>
          <w:rFonts w:ascii="Arial" w:cs="Arial" w:eastAsia="Arial" w:hAnsi="Arial"/>
          <w:b/>
          <w:bCs/>
          <w:color w:val="888888"/>
          <w:sz w:val="20"/>
          <w:szCs w:val="20"/>
        </w:rPr>
        <w:t xml:space="preserve">END OF ADDENDUM V</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Arial" w:cs="Arial" w:eastAsia="Arial" w:hAnsi="Arial"/>
        <w:color w:val="666666"/>
        <w:sz w:val="18"/>
        <w:szCs w:val="18"/>
      </w:rPr>
      <w:t xml:space="preserve">HUF Collective Trace v1.5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Arial" w:cs="Arial" w:eastAsia="Arial" w:hAnsi="Arial"/>
        <w:color w:val="666666"/>
        <w:sz w:val="16"/>
        <w:szCs w:val="16"/>
      </w:rPr>
      <w:t xml:space="preserve">HUF-DOC: HUF.REL.ORG.TRACE.COLLECTIVE_TRACE_V1_5 | HUF:1.1.8 | DOC:v1.5 | STATUS:draft | LANE:release | RO:Peter Higgins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180" w:before="180"/>
      <w:outlineLvl w:val="1"/>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2026-03-08T17:42:04.861Z</dcterms:created>
  <dcterms:modified xsi:type="dcterms:W3CDTF">2026-03-08T17:42:04.861Z</dcterms:modified>
</cp:coreProperties>
</file>

<file path=docProps/custom.xml><?xml version="1.0" encoding="utf-8"?>
<Properties xmlns="http://schemas.openxmlformats.org/officeDocument/2006/custom-properties" xmlns:vt="http://schemas.openxmlformats.org/officeDocument/2006/docPropsVTypes"/>
</file>