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44"/>
          <w:szCs w:val="44"/>
        </w:rPr>
        <w:t xml:space="preserve">The HUF Development Index</w:t>
      </w:r>
    </w:p>
    <w:p>
      <w:pPr>
        <w:spacing w:after="40"/>
        <w:jc w:val="center"/>
      </w:pPr>
      <w:r>
        <w:rPr>
          <w:rFonts w:ascii="Arial" w:cs="Arial" w:eastAsia="Arial" w:hAnsi="Arial"/>
          <w:color w:val="0D5C5C"/>
          <w:sz w:val="30"/>
          <w:szCs w:val="30"/>
        </w:rPr>
        <w:t xml:space="preserve">Science in Review: What EITT Residuals Reveal</w:t>
      </w:r>
    </w:p>
    <w:p>
      <w:pPr>
        <w:spacing w:after="40"/>
        <w:jc w:val="center"/>
      </w:pPr>
      <w:r>
        <w:rPr>
          <w:rFonts w:ascii="Arial" w:cs="Arial" w:eastAsia="Arial" w:hAnsi="Arial"/>
          <w:color w:val="0D5C5C"/>
          <w:sz w:val="30"/>
          <w:szCs w:val="30"/>
        </w:rPr>
        <w:t xml:space="preserve">About a Domain’s Distance from Ground Zero</w:t>
      </w:r>
    </w:p>
    <w:p>
      <w:pPr>
        <w:spacing w:after="200"/>
        <w:jc w:val="center"/>
      </w:pPr>
      <w:r>
        <w:rPr>
          <w:rFonts w:ascii="Arial" w:cs="Arial" w:eastAsia="Arial" w:hAnsi="Arial"/>
          <w:color w:val="333333"/>
          <w:sz w:val="22"/>
          <w:szCs w:val="22"/>
        </w:rPr>
        <w:t xml:space="preserve">Peter Higgins  |  Rogue Wave Audio  |  April 2026</w:t>
      </w:r>
    </w:p>
    <w:p>
      <w:pPr>
        <w:pBdr>
          <w:bottom w:val="single" w:color="0D5C5C" w:sz="6" w:space="1"/>
        </w:pBdr>
        <w:spacing w:after="300"/>
      </w:pPr>
    </w:p>
    <w:p>
      <w:pPr>
        <w:pStyle w:val="Heading1"/>
        <w:spacing w:after="200" w:before="360"/>
      </w:pPr>
      <w:r>
        <w:rPr>
          <w:rFonts w:ascii="Arial" w:cs="Arial" w:eastAsia="Arial" w:hAnsi="Arial"/>
          <w:b/>
          <w:bCs/>
          <w:color w:val="1E3A5F"/>
          <w:sz w:val="32"/>
          <w:szCs w:val="32"/>
        </w:rPr>
        <w:t xml:space="preserve">1. The Instrument is Working</w:t>
      </w:r>
    </w:p>
    <w:p>
      <w:pPr>
        <w:spacing w:after="160" w:line="276"/>
        <w:jc w:val="both"/>
      </w:pPr>
      <w:r>
        <w:rPr>
          <w:rFonts w:ascii="Arial" w:cs="Arial" w:eastAsia="Arial" w:hAnsi="Arial"/>
          <w:b w:val="false"/>
          <w:bCs w:val="false"/>
          <w:i w:val="false"/>
          <w:iCs w:val="false"/>
          <w:color w:val="333333"/>
          <w:sz w:val="22"/>
          <w:szCs w:val="22"/>
        </w:rPr>
        <w:t xml:space="preserve">The EITT chemistry results are normal. Not spectacular, not catastrophic — typical science results from a first-contact diagnostic applied to a new domain. Interior compositions pass at 54–82%, boundary compositions at lower rates, and the four diagnostic lenses each reveal different aspects of the simplex geometry. This is exactly what a well-calibrated instrument should produce when pointed at a complex system.</w:t>
      </w:r>
    </w:p>
    <w:p>
      <w:pPr>
        <w:spacing w:after="160" w:line="276"/>
        <w:jc w:val="both"/>
      </w:pPr>
      <w:r>
        <w:rPr>
          <w:rFonts w:ascii="Arial" w:cs="Arial" w:eastAsia="Arial" w:hAnsi="Arial"/>
          <w:b w:val="false"/>
          <w:bCs w:val="false"/>
          <w:i w:val="false"/>
          <w:iCs w:val="false"/>
          <w:color w:val="333333"/>
          <w:sz w:val="22"/>
          <w:szCs w:val="22"/>
        </w:rPr>
        <w:t xml:space="preserve">The instinct is to ask whether the test passed or failed. That framing misses the point entirely. EITT is not a gate; it is a thermometer. When a thermometer reads 39°C, the question is not whether the thermometer failed — it is what the reading tells you about the patient.</w:t>
      </w:r>
    </w:p>
    <w:p>
      <w:pPr>
        <w:spacing w:after="160" w:line="276"/>
        <w:jc w:val="both"/>
      </w:pPr>
      <w:r>
        <w:rPr>
          <w:rFonts w:ascii="Arial" w:cs="Arial" w:eastAsia="Arial" w:hAnsi="Arial"/>
          <w:b w:val="false"/>
          <w:bCs w:val="false"/>
          <w:i w:val="false"/>
          <w:iCs w:val="false"/>
          <w:color w:val="333333"/>
          <w:sz w:val="22"/>
          <w:szCs w:val="22"/>
        </w:rPr>
        <w:t xml:space="preserve">HUF’s entropy invariance under temporal transformation was originally confirmed in energy markets and financial time series, domains where the generating processes are well-characterised and the data flows in natural temporal order. Extending the test to chemistry — where compositions live on a constrained simplex and “time” is replaced by a compositional sweep — was never expected to replicate those pass rates. The question was always: what does the residual tell us?</w:t>
      </w:r>
    </w:p>
    <w:p>
      <w:pPr>
        <w:pStyle w:val="Heading1"/>
        <w:spacing w:after="200" w:before="360"/>
      </w:pPr>
      <w:r>
        <w:rPr>
          <w:rFonts w:ascii="Arial" w:cs="Arial" w:eastAsia="Arial" w:hAnsi="Arial"/>
          <w:b/>
          <w:bCs/>
          <w:color w:val="1E3A5F"/>
          <w:sz w:val="32"/>
          <w:szCs w:val="32"/>
        </w:rPr>
        <w:t xml:space="preserve">2. Ground Zero and the Development Index</w:t>
      </w:r>
    </w:p>
    <w:p>
      <w:pPr>
        <w:spacing w:after="160" w:line="276"/>
        <w:jc w:val="both"/>
      </w:pPr>
      <w:r>
        <w:rPr>
          <w:rFonts w:ascii="Arial" w:cs="Arial" w:eastAsia="Arial" w:hAnsi="Arial"/>
          <w:b w:val="false"/>
          <w:bCs w:val="false"/>
          <w:i w:val="false"/>
          <w:iCs w:val="false"/>
          <w:color w:val="333333"/>
          <w:sz w:val="22"/>
          <w:szCs w:val="22"/>
        </w:rPr>
        <w:t xml:space="preserve">Define ground zero as the state where a domain’s entropy structure is completely understood — where every transformation, constraint, and coupling is accounted for, and the EITT residual drops to machine precision. No real domain is at ground zero. Every domain has residual, and that residual is informative.</w:t>
      </w:r>
    </w:p>
    <w:p>
      <w:pPr>
        <w:spacing w:after="160" w:line="276"/>
        <w:jc w:val="both"/>
      </w:pPr>
      <w:r>
        <w:rPr>
          <w:rFonts w:ascii="Arial" w:cs="Arial" w:eastAsia="Arial" w:hAnsi="Arial"/>
          <w:b/>
          <w:bCs/>
          <w:i w:val="false"/>
          <w:iCs w:val="false"/>
          <w:color w:val="0D5C5C"/>
          <w:sz w:val="22"/>
          <w:szCs w:val="22"/>
        </w:rPr>
        <w:t xml:space="preserve">The HUF Development Index (HUF-IDX) </w:t>
      </w:r>
      <w:r>
        <w:rPr>
          <w:rFonts w:ascii="Arial" w:cs="Arial" w:eastAsia="Arial" w:hAnsi="Arial"/>
          <w:b w:val="false"/>
          <w:bCs w:val="false"/>
          <w:i w:val="false"/>
          <w:iCs w:val="false"/>
          <w:color w:val="333333"/>
          <w:sz w:val="22"/>
          <w:szCs w:val="22"/>
        </w:rPr>
        <w:t xml:space="preserve">is the magnitude and structure of the EITT residual when the test is applied to a domain. It is not a score to be minimised for its own sake. It is a map of what remains to be understood. A large residual does not mean the domain is deficient — it means the domain’s complexity has not yet been fully captured by the available analytical framework.</w:t>
      </w:r>
    </w:p>
    <w:p>
      <w:pPr>
        <w:spacing w:after="160" w:line="276"/>
        <w:jc w:val="both"/>
      </w:pPr>
      <w:r>
        <w:rPr>
          <w:rFonts w:ascii="Arial" w:cs="Arial" w:eastAsia="Arial" w:hAnsi="Arial"/>
          <w:b w:val="false"/>
          <w:bCs w:val="false"/>
          <w:i w:val="false"/>
          <w:iCs w:val="false"/>
          <w:color w:val="333333"/>
          <w:sz w:val="22"/>
          <w:szCs w:val="22"/>
        </w:rPr>
        <w:t xml:space="preserve">When the inverse is applied — when we read the residual not as failure but as signal — HUF never fails to reveal where a field sits on its own development arc. The instrument is incapable of returning a false negative on this reading, because any non-zero residual is, by definition, a measurement of unexplained structure.</w:t>
      </w:r>
    </w:p>
    <w:p>
      <w:pPr>
        <w:pStyle w:val="Heading1"/>
        <w:spacing w:after="200" w:before="360"/>
      </w:pPr>
      <w:r>
        <w:rPr>
          <w:rFonts w:ascii="Arial" w:cs="Arial" w:eastAsia="Arial" w:hAnsi="Arial"/>
          <w:b/>
          <w:bCs/>
          <w:color w:val="1E3A5F"/>
          <w:sz w:val="32"/>
          <w:szCs w:val="32"/>
        </w:rPr>
        <w:t xml:space="preserve">3. Why Chemistry Reads High</w:t>
      </w:r>
    </w:p>
    <w:p>
      <w:pPr>
        <w:spacing w:after="160" w:line="276"/>
        <w:jc w:val="both"/>
      </w:pPr>
      <w:r>
        <w:rPr>
          <w:rFonts w:ascii="Arial" w:cs="Arial" w:eastAsia="Arial" w:hAnsi="Arial"/>
          <w:b w:val="false"/>
          <w:bCs w:val="false"/>
          <w:i w:val="false"/>
          <w:iCs w:val="false"/>
          <w:color w:val="333333"/>
          <w:sz w:val="22"/>
          <w:szCs w:val="22"/>
        </w:rPr>
        <w:t xml:space="preserve">Chemistry’s HUF-IDX is elevated not because the science is weak, but because the system is genuinely hard. Consider what chemical mixture data encodes: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50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tcPr>
          <w:p>
            <w:r>
              <w:rPr>
                <w:rFonts w:ascii="Arial" w:cs="Arial" w:eastAsia="Arial" w:hAnsi="Arial"/>
                <w:b/>
                <w:bCs/>
                <w:color w:val="FFFFFF"/>
                <w:sz w:val="20"/>
                <w:szCs w:val="20"/>
              </w:rPr>
              <w:t xml:space="preserve">Condition in Chemistry</w:t>
            </w:r>
          </w:p>
        </w:tc>
        <w:tc>
          <w:tcPr>
            <w:tcW w:type="dxa" w:w="366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tcPr>
          <w:p>
            <w:r>
              <w:rPr>
                <w:rFonts w:ascii="Arial" w:cs="Arial" w:eastAsia="Arial" w:hAnsi="Arial"/>
                <w:b/>
                <w:bCs/>
                <w:color w:val="FFFFFF"/>
                <w:sz w:val="20"/>
                <w:szCs w:val="20"/>
              </w:rPr>
              <w:t xml:space="preserve">Effect on EITT</w:t>
            </w:r>
          </w:p>
        </w:tc>
      </w:tr>
      <w:tr>
        <w:tc>
          <w:tcPr>
            <w:tcW w:type="dxa" w:w="2200"/>
            <w:tcBorders>
              <w:top w:val="single" w:color="CCCCCC" w:sz="1"/>
              <w:left w:val="single" w:color="CCCCCC" w:sz="1"/>
              <w:bottom w:val="single" w:color="CCCCCC" w:sz="1"/>
              <w:right w:val="single" w:color="CCCCCC" w:sz="1"/>
            </w:tcBorders>
            <w:shd w:fill="E6F2F2" w:val="clear"/>
            <w:tcMar>
              <w:top w:type="dxa" w:w="80"/>
              <w:left w:type="dxa" w:w="120"/>
              <w:bottom w:type="dxa" w:w="80"/>
              <w:right w:type="dxa" w:w="120"/>
            </w:tcMar>
          </w:tcPr>
          <w:p>
            <w:r>
              <w:rPr>
                <w:rFonts w:ascii="Arial" w:cs="Arial" w:eastAsia="Arial" w:hAnsi="Arial"/>
                <w:b/>
                <w:bCs/>
                <w:color w:val="333333"/>
                <w:sz w:val="20"/>
                <w:szCs w:val="20"/>
              </w:rPr>
              <w:t xml:space="preserve">Mass</w:t>
            </w:r>
          </w:p>
        </w:tc>
        <w:tc>
          <w:tcPr>
            <w:tcW w:type="dxa" w:w="3500"/>
            <w:tcBorders>
              <w:top w:val="single" w:color="CCCCCC" w:sz="1"/>
              <w:left w:val="single" w:color="CCCCCC" w:sz="1"/>
              <w:bottom w:val="single" w:color="CCCCCC" w:sz="1"/>
              <w:right w:val="single" w:color="CCCCCC" w:sz="1"/>
            </w:tcBorders>
            <w:shd w:fill="E6F2F2" w:val="clear"/>
            <w:tcMar>
              <w:top w:type="dxa" w:w="80"/>
              <w:left w:type="dxa" w:w="120"/>
              <w:bottom w:type="dxa" w:w="80"/>
              <w:right w:type="dxa" w:w="120"/>
            </w:tcMar>
          </w:tcPr>
          <w:p>
            <w:r>
              <w:rPr>
                <w:rFonts w:ascii="Arial" w:cs="Arial" w:eastAsia="Arial" w:hAnsi="Arial"/>
                <w:color w:val="333333"/>
                <w:sz w:val="20"/>
                <w:szCs w:val="20"/>
              </w:rPr>
              <w:t xml:space="preserve">Strictly conserved. Compositions must sum to unity. No degree of freedom is independent.</w:t>
            </w:r>
          </w:p>
        </w:tc>
        <w:tc>
          <w:tcPr>
            <w:tcW w:type="dxa" w:w="3660"/>
            <w:tcBorders>
              <w:top w:val="single" w:color="CCCCCC" w:sz="1"/>
              <w:left w:val="single" w:color="CCCCCC" w:sz="1"/>
              <w:bottom w:val="single" w:color="CCCCCC" w:sz="1"/>
              <w:right w:val="single" w:color="CCCCCC" w:sz="1"/>
            </w:tcBorders>
            <w:shd w:fill="E6F2F2" w:val="clear"/>
            <w:tcMar>
              <w:top w:type="dxa" w:w="80"/>
              <w:left w:type="dxa" w:w="120"/>
              <w:bottom w:type="dxa" w:w="80"/>
              <w:right w:type="dxa" w:w="120"/>
            </w:tcMar>
          </w:tcPr>
          <w:p>
            <w:r>
              <w:rPr>
                <w:rFonts w:ascii="Arial" w:cs="Arial" w:eastAsia="Arial" w:hAnsi="Arial"/>
                <w:color w:val="333333"/>
                <w:sz w:val="20"/>
                <w:szCs w:val="20"/>
              </w:rPr>
              <w:t xml:space="preserve">Confines data to the simplex. Shannon curvature diverges at boundary.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Energy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transitions introduce discontinuities. Latent heat creates entropy jumps that no smooth function can bridge.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Block decimation averages across discontinuities, inflating residual.</w:t>
            </w:r>
          </w:p>
        </w:tc>
      </w:tr>
      <w:tr>
        <w:tc>
          <w:tcPr>
            <w:tcW w:type="dxa" w:w="2200"/>
            <w:tcBorders>
              <w:top w:val="single" w:color="CCCCCC" w:sz="1"/>
              <w:left w:val="single" w:color="CCCCCC" w:sz="1"/>
              <w:bottom w:val="single" w:color="CCCCCC" w:sz="1"/>
              <w:right w:val="single" w:color="CCCCCC" w:sz="1"/>
            </w:tcBorders>
            <w:shd w:fill="E6F2F2" w:val="clear"/>
            <w:tcMar>
              <w:top w:type="dxa" w:w="80"/>
              <w:left w:type="dxa" w:w="120"/>
              <w:bottom w:type="dxa" w:w="80"/>
              <w:right w:type="dxa" w:w="120"/>
            </w:tcMar>
          </w:tcPr>
          <w:p>
            <w:r>
              <w:rPr>
                <w:rFonts w:ascii="Arial" w:cs="Arial" w:eastAsia="Arial" w:hAnsi="Arial"/>
                <w:b/>
                <w:bCs/>
                <w:color w:val="333333"/>
                <w:sz w:val="20"/>
                <w:szCs w:val="20"/>
              </w:rPr>
              <w:t xml:space="preserve">Time</w:t>
            </w:r>
          </w:p>
        </w:tc>
        <w:tc>
          <w:tcPr>
            <w:tcW w:type="dxa" w:w="3500"/>
            <w:tcBorders>
              <w:top w:val="single" w:color="CCCCCC" w:sz="1"/>
              <w:left w:val="single" w:color="CCCCCC" w:sz="1"/>
              <w:bottom w:val="single" w:color="CCCCCC" w:sz="1"/>
              <w:right w:val="single" w:color="CCCCCC" w:sz="1"/>
            </w:tcBorders>
            <w:shd w:fill="E6F2F2" w:val="clear"/>
            <w:tcMar>
              <w:top w:type="dxa" w:w="80"/>
              <w:left w:type="dxa" w:w="120"/>
              <w:bottom w:type="dxa" w:w="80"/>
              <w:right w:type="dxa" w:w="120"/>
            </w:tcMar>
          </w:tcPr>
          <w:p>
            <w:r>
              <w:rPr>
                <w:rFonts w:ascii="Arial" w:cs="Arial" w:eastAsia="Arial" w:hAnsi="Arial"/>
                <w:color w:val="333333"/>
                <w:sz w:val="20"/>
                <w:szCs w:val="20"/>
              </w:rPr>
              <w:t xml:space="preserve">Often absent. Composition sweeps are synthetic orderings, not temporal sequences. No autocorrelation to stabilise the signal.</w:t>
            </w:r>
          </w:p>
        </w:tc>
        <w:tc>
          <w:tcPr>
            <w:tcW w:type="dxa" w:w="3660"/>
            <w:tcBorders>
              <w:top w:val="single" w:color="CCCCCC" w:sz="1"/>
              <w:left w:val="single" w:color="CCCCCC" w:sz="1"/>
              <w:bottom w:val="single" w:color="CCCCCC" w:sz="1"/>
              <w:right w:val="single" w:color="CCCCCC" w:sz="1"/>
            </w:tcBorders>
            <w:shd w:fill="E6F2F2" w:val="clear"/>
            <w:tcMar>
              <w:top w:type="dxa" w:w="80"/>
              <w:left w:type="dxa" w:w="120"/>
              <w:bottom w:type="dxa" w:w="80"/>
              <w:right w:type="dxa" w:w="120"/>
            </w:tcMar>
          </w:tcPr>
          <w:p>
            <w:r>
              <w:rPr>
                <w:rFonts w:ascii="Arial" w:cs="Arial" w:eastAsia="Arial" w:hAnsi="Arial"/>
                <w:color w:val="333333"/>
                <w:sz w:val="20"/>
                <w:szCs w:val="20"/>
              </w:rPr>
              <w:t xml:space="preserve">Removes ~half the invariance that temporal EITT exploits.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Space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 count varies (2 to 10+). Dimensionality is not fixed across datasets or even within a single study.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Variable D changes the simplex geometry mid-analysis.</w:t>
            </w:r>
          </w:p>
        </w:tc>
      </w:tr>
    </w:tbl>
    <w:p>
      <w:pPr>
        <w:spacing w:after="200"/>
      </w:pPr>
    </w:p>
    <w:p>
      <w:pPr>
        <w:spacing w:after="160" w:line="276"/>
        <w:jc w:val="both"/>
      </w:pPr>
      <w:r>
        <w:rPr>
          <w:rFonts w:ascii="Arial" w:cs="Arial" w:eastAsia="Arial" w:hAnsi="Arial"/>
          <w:b w:val="false"/>
          <w:bCs w:val="false"/>
          <w:i w:val="false"/>
          <w:iCs w:val="false"/>
          <w:color w:val="333333"/>
          <w:sz w:val="22"/>
          <w:szCs w:val="22"/>
        </w:rPr>
        <w:t xml:space="preserve">These four constraints do not simply coexist. They interact in extremes. A binary ionic liquid at 0.95/0.05 mole fraction sits on the simplex boundary where Shannon curvature goes as −1/xᵢ — while simultaneously undergoing temperature-driven phase behaviour on timescales of microseconds. One constraint (mass) is static, another (energy) is hyper-excited, a third (time) may not exist in the data at all, and the fourth (space/dimensionality) varies across samples.</w:t>
      </w:r>
    </w:p>
    <w:p>
      <w:pPr>
        <w:spacing w:after="160" w:line="276"/>
        <w:jc w:val="both"/>
      </w:pPr>
      <w:r>
        <w:rPr>
          <w:rFonts w:ascii="Arial" w:cs="Arial" w:eastAsia="Arial" w:hAnsi="Arial"/>
          <w:b w:val="false"/>
          <w:bCs w:val="false"/>
          <w:i w:val="false"/>
          <w:iCs w:val="false"/>
          <w:color w:val="333333"/>
          <w:sz w:val="22"/>
          <w:szCs w:val="22"/>
        </w:rPr>
        <w:t xml:space="preserve">Scientists working in this realm deal with all of this simultaneously. The elevated HUF-IDX is a quantitative acknowledgment of that complexity. It measures the distance between the analytical tools available and the full structure of the system.</w:t>
      </w:r>
    </w:p>
    <w:p>
      <w:pPr>
        <w:pStyle w:val="Heading1"/>
        <w:spacing w:after="200" w:before="360"/>
      </w:pPr>
      <w:r>
        <w:rPr>
          <w:rFonts w:ascii="Arial" w:cs="Arial" w:eastAsia="Arial" w:hAnsi="Arial"/>
          <w:b/>
          <w:bCs/>
          <w:color w:val="1E3A5F"/>
          <w:sz w:val="32"/>
          <w:szCs w:val="32"/>
        </w:rPr>
        <w:t xml:space="preserve">4. The Inverse Reading: Every Failure is a Coordinate</w:t>
      </w:r>
    </w:p>
    <w:p>
      <w:pPr>
        <w:spacing w:after="160" w:line="276"/>
        <w:jc w:val="both"/>
      </w:pPr>
      <w:r>
        <w:rPr>
          <w:rFonts w:ascii="Arial" w:cs="Arial" w:eastAsia="Arial" w:hAnsi="Arial"/>
          <w:b w:val="false"/>
          <w:bCs w:val="false"/>
          <w:i w:val="false"/>
          <w:iCs w:val="false"/>
          <w:color w:val="333333"/>
          <w:sz w:val="22"/>
          <w:szCs w:val="22"/>
        </w:rPr>
        <w:t xml:space="preserve">The development index is not a single number. It has structure. Each diagnostic lens that fails, and the way it fails, provides a coordinate in the space of unexplained phenomena. The four lenses tested on chemistry data each returned a different failure signature, and each signature points somewhere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Lens</w:t>
            </w:r>
          </w:p>
        </w:tc>
        <w:tc>
          <w:tcPr>
            <w:tcW w:type="dxa" w:w="20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8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7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Who Benefits</w:t>
            </w:r>
          </w:p>
        </w:tc>
      </w:tr>
      <w:tr>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333333"/>
                <w:sz w:val="20"/>
                <w:szCs w:val="20"/>
              </w:rPr>
              <w:t xml:space="preserve">Raw Shannon</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333333"/>
                <w:sz w:val="20"/>
                <w:szCs w:val="20"/>
              </w:rPr>
              <w:t xml:space="preserve">Boundary divergence (curvature −1/xᵢ)</w:t>
            </w:r>
          </w:p>
        </w:tc>
        <w:tc>
          <w:tcPr>
            <w:tcW w:type="dxa" w:w="2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333333"/>
                <w:sz w:val="20"/>
                <w:szCs w:val="20"/>
              </w:rPr>
              <w:t xml:space="preserve">Distance from uniform curvature. How far the metric space deviates from Riemannian flatness near extremes.</w:t>
            </w:r>
          </w:p>
        </w:tc>
        <w:tc>
          <w:tcPr>
            <w:tcW w:type="dxa" w:w="27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333333"/>
                <w:sz w:val="20"/>
                <w:szCs w:val="20"/>
              </w:rPr>
              <w:t xml:space="preserve">Analytical chemistry: trace detection limits are geometric, not arithmetic.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Jensen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Over-correction on large arcs (Taylor divergence)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Range of validity of local approximations. How far you can extrapolate from a neighbourhood.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Pharmacology: dose-response extrapolation boundaries.</w:t>
            </w:r>
          </w:p>
        </w:tc>
      </w:tr>
      <w:tr>
        <w:tc>
          <w:tcPr>
            <w:tcW w:type="dxa" w:w="1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color w:val="333333"/>
                <w:sz w:val="20"/>
                <w:szCs w:val="20"/>
              </w:rPr>
              <w:t xml:space="preserve">Rényi q=2</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333333"/>
                <w:sz w:val="20"/>
                <w:szCs w:val="20"/>
              </w:rPr>
              <w:t xml:space="preserve">Marginal improvement (wrong curvature order)</w:t>
            </w:r>
          </w:p>
        </w:tc>
        <w:tc>
          <w:tcPr>
            <w:tcW w:type="dxa" w:w="2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333333"/>
                <w:sz w:val="20"/>
                <w:szCs w:val="20"/>
              </w:rPr>
              <w:t xml:space="preserve">Sensitivity of collision entropy to the specific curvature profile of the simplex.</w:t>
            </w:r>
          </w:p>
        </w:tc>
        <w:tc>
          <w:tcPr>
            <w:tcW w:type="dxa" w:w="27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color w:val="333333"/>
                <w:sz w:val="20"/>
                <w:szCs w:val="20"/>
              </w:rPr>
              <w:t xml:space="preserve">Information theory: collision entropy is not a universal substitute for Shannon.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Aitchison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boundary correction, weaker interior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gap between compositional geometry and information geometry. Where they agree and where they diverge.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CoDa methodology: empirical evidence for when to use which metric.</w:t>
            </w:r>
          </w:p>
        </w:tc>
      </w:tr>
    </w:tbl>
    <w:p>
      <w:pPr>
        <w:spacing w:after="200"/>
      </w:pPr>
    </w:p>
    <w:p>
      <w:pPr>
        <w:spacing w:after="160" w:line="276"/>
        <w:jc w:val="both"/>
      </w:pPr>
      <w:r>
        <w:rPr>
          <w:rFonts w:ascii="Arial" w:cs="Arial" w:eastAsia="Arial" w:hAnsi="Arial"/>
          <w:b w:val="false"/>
          <w:bCs w:val="false"/>
          <w:i w:val="false"/>
          <w:iCs w:val="false"/>
          <w:color w:val="333333"/>
          <w:sz w:val="22"/>
          <w:szCs w:val="22"/>
        </w:rPr>
        <w:t xml:space="preserve">Read together, these four coordinates form a diagnostic fingerprint for chemistry’s current analytical position. A different domain — ecology, genomics, materials science — would produce a different fingerprint. The shape of the residual is the message.</w:t>
      </w:r>
    </w:p>
    <w:p>
      <w:pPr>
        <w:pStyle w:val="Heading1"/>
        <w:spacing w:after="200" w:before="360"/>
      </w:pPr>
      <w:r>
        <w:rPr>
          <w:rFonts w:ascii="Arial" w:cs="Arial" w:eastAsia="Arial" w:hAnsi="Arial"/>
          <w:b/>
          <w:bCs/>
          <w:color w:val="1E3A5F"/>
          <w:sz w:val="32"/>
          <w:szCs w:val="32"/>
        </w:rPr>
        <w:t xml:space="preserve">5. What the Worst Case Teaches</w:t>
      </w:r>
    </w:p>
    <w:p>
      <w:pPr>
        <w:spacing w:after="160" w:line="276"/>
        <w:jc w:val="both"/>
      </w:pPr>
      <w:r>
        <w:rPr>
          <w:rFonts w:ascii="Arial" w:cs="Arial" w:eastAsia="Arial" w:hAnsi="Arial"/>
          <w:b w:val="false"/>
          <w:bCs w:val="false"/>
          <w:i w:val="false"/>
          <w:iCs w:val="false"/>
          <w:color w:val="333333"/>
          <w:sz w:val="22"/>
          <w:szCs w:val="22"/>
        </w:rPr>
        <w:t xml:space="preserve">The worst-performing case in the chemistry study was the NIST organic viscosity dataset at the simplex boundary: raw Shannon pass rate near 35%, with delta residuals exceeding 16%. By any conventional standard, this is a failure.</w:t>
      </w:r>
    </w:p>
    <w:p>
      <w:pPr>
        <w:spacing w:after="160" w:line="276"/>
        <w:jc w:val="both"/>
      </w:pPr>
      <w:r>
        <w:rPr>
          <w:rFonts w:ascii="Arial" w:cs="Arial" w:eastAsia="Arial" w:hAnsi="Arial"/>
          <w:b w:val="false"/>
          <w:bCs w:val="false"/>
          <w:i w:val="false"/>
          <w:iCs w:val="false"/>
          <w:color w:val="333333"/>
          <w:sz w:val="22"/>
          <w:szCs w:val="22"/>
        </w:rPr>
        <w:t xml:space="preserve">By the HUF-IDX reading, this is the most informative result in the entire study.</w:t>
      </w:r>
    </w:p>
    <w:p>
      <w:pPr>
        <w:spacing w:after="160" w:line="276"/>
        <w:jc w:val="both"/>
      </w:pPr>
      <w:r>
        <w:rPr>
          <w:rFonts w:ascii="Arial" w:cs="Arial" w:eastAsia="Arial" w:hAnsi="Arial"/>
          <w:b w:val="false"/>
          <w:bCs w:val="false"/>
          <w:i w:val="false"/>
          <w:iCs w:val="false"/>
          <w:color w:val="333333"/>
          <w:sz w:val="22"/>
          <w:szCs w:val="22"/>
        </w:rPr>
        <w:t xml:space="preserve">The NIST boundary result tells us that the combination of mass conservation constraints (forcing data onto the simplex edge), absent temporal ordering (composition sweeps only), and Shannon’s divergent curvature near zero produces the largest gap between the entropy invariance that theory predicts and the entropy behaviour that the data exhibits. This gap is a direct, quantitative measure of how much analytical work remains before the entropy structure of dilute multi-component mixtures is fully characterised.</w:t>
      </w:r>
    </w:p>
    <w:p>
      <w:pPr>
        <w:spacing w:after="160" w:line="276"/>
        <w:jc w:val="both"/>
      </w:pPr>
      <w:r>
        <w:rPr>
          <w:rFonts w:ascii="Arial" w:cs="Arial" w:eastAsia="Arial" w:hAnsi="Arial"/>
          <w:b w:val="false"/>
          <w:bCs w:val="false"/>
          <w:i w:val="false"/>
          <w:iCs w:val="false"/>
          <w:color w:val="333333"/>
          <w:sz w:val="22"/>
          <w:szCs w:val="22"/>
        </w:rPr>
        <w:t xml:space="preserve">When the Aitchison lens is applied to this same data, the residual drops from 16.2% to 2.49%. That single correction — switching from information-theoretic to compositional-geometric measurement — closes most of the gap. The remaining 2.49% is the true unexplained structure: the part that neither metric captures, the genuine frontier.</w:t>
      </w:r>
    </w:p>
    <w:p>
      <w:pPr>
        <w:spacing w:after="160" w:line="276"/>
        <w:jc w:val="both"/>
      </w:pPr>
      <w:r>
        <w:rPr>
          <w:rFonts w:ascii="Arial" w:cs="Arial" w:eastAsia="Arial" w:hAnsi="Arial"/>
          <w:b/>
          <w:bCs/>
          <w:i w:val="false"/>
          <w:iCs w:val="false"/>
          <w:color w:val="0D5C5C"/>
          <w:sz w:val="22"/>
          <w:szCs w:val="22"/>
        </w:rPr>
        <w:t xml:space="preserve">This is the development index in action. </w:t>
      </w:r>
      <w:r>
        <w:rPr>
          <w:rFonts w:ascii="Arial" w:cs="Arial" w:eastAsia="Arial" w:hAnsi="Arial"/>
          <w:b w:val="false"/>
          <w:bCs w:val="false"/>
          <w:i w:val="false"/>
          <w:iCs w:val="false"/>
          <w:color w:val="333333"/>
          <w:sz w:val="22"/>
          <w:szCs w:val="22"/>
        </w:rPr>
        <w:t xml:space="preserve">The worst case, when read correctly, is simultaneously a diagnosis (the field has far to go at the boundary), a prescription (use Aitchison geometry there), and a residual map of what remains after the best available correction is applied.</w:t>
      </w:r>
    </w:p>
    <w:p>
      <w:pPr>
        <w:pStyle w:val="Heading1"/>
        <w:spacing w:after="200" w:before="360"/>
      </w:pPr>
      <w:r>
        <w:rPr>
          <w:rFonts w:ascii="Arial" w:cs="Arial" w:eastAsia="Arial" w:hAnsi="Arial"/>
          <w:b/>
          <w:bCs/>
          <w:color w:val="1E3A5F"/>
          <w:sz w:val="32"/>
          <w:szCs w:val="32"/>
        </w:rPr>
        <w:t xml:space="preserve">6. Decomposing the Index: Geometry vs. Dynamics</w:t>
      </w:r>
    </w:p>
    <w:p>
      <w:pPr>
        <w:spacing w:after="160" w:line="276"/>
        <w:jc w:val="both"/>
      </w:pPr>
      <w:r>
        <w:rPr>
          <w:rFonts w:ascii="Arial" w:cs="Arial" w:eastAsia="Arial" w:hAnsi="Arial"/>
          <w:b w:val="false"/>
          <w:bCs w:val="false"/>
          <w:i w:val="false"/>
          <w:iCs w:val="false"/>
          <w:color w:val="333333"/>
          <w:sz w:val="22"/>
          <w:szCs w:val="22"/>
        </w:rPr>
        <w:t xml:space="preserve">The chemistry experiment produced what may be the first empirical decomposition of the two contributions to EITT invariance. Temporal EITT on energy and financial data passes at approximately 94.8%. Compositional EITT on chemistry data, using composition sweeps with no temporal ordering, passes at 53% overall (interior) to 35% (boundary).</w:t>
      </w:r>
    </w:p>
    <w:p>
      <w:pPr>
        <w:spacing w:after="160" w:line="276"/>
        <w:jc w:val="both"/>
      </w:pPr>
      <w:r>
        <w:rPr>
          <w:rFonts w:ascii="Arial" w:cs="Arial" w:eastAsia="Arial" w:hAnsi="Arial"/>
          <w:b w:val="false"/>
          <w:bCs w:val="false"/>
          <w:i w:val="false"/>
          <w:iCs w:val="false"/>
          <w:color w:val="333333"/>
          <w:sz w:val="22"/>
          <w:szCs w:val="22"/>
        </w:rPr>
        <w:t xml:space="preserve">The difference is attributable to two sources: simplex geometry (the constraint that compositions sum to unity and live on a bounded manifold) and temporal autocorrelation (the property that adjacent observations in time are correlated). Composition sweeps remove the second entirely, leaving only the first.</w:t>
      </w:r>
    </w:p>
    <w:p>
      <w:pPr>
        <w:spacing w:after="160" w:line="276"/>
        <w:jc w:val="both"/>
      </w:pPr>
      <w:r>
        <w:rPr>
          <w:rFonts w:ascii="Arial" w:cs="Arial" w:eastAsia="Arial" w:hAnsi="Arial"/>
          <w:b w:val="false"/>
          <w:bCs w:val="false"/>
          <w:i w:val="false"/>
          <w:iCs w:val="false"/>
          <w:color w:val="333333"/>
          <w:sz w:val="22"/>
          <w:szCs w:val="22"/>
        </w:rPr>
        <w:t xml:space="preserve">Approximately half the invariance comes from each source. This decomposition has not previously been established and directly informs Open Problem D-3 in the formal EITT framework: the contribution of temporal structure to the invariance result.</w:t>
      </w:r>
    </w:p>
    <w:p>
      <w:pPr>
        <w:spacing w:after="160" w:line="276"/>
        <w:jc w:val="both"/>
      </w:pPr>
      <w:r>
        <w:rPr>
          <w:rFonts w:ascii="Arial" w:cs="Arial" w:eastAsia="Arial" w:hAnsi="Arial"/>
          <w:b w:val="false"/>
          <w:bCs w:val="false"/>
          <w:i w:val="false"/>
          <w:iCs w:val="false"/>
          <w:color w:val="333333"/>
          <w:sz w:val="22"/>
          <w:szCs w:val="22"/>
        </w:rPr>
        <w:t xml:space="preserve">For any domain where data lives on a constrained manifold but is not temporally ordered — geological surveys, ecological community compositions, market basket analysis — this decomposition provides a baseline expectation. HUF-IDX will read approximately double the residual of a temporally ordered domain with the same underlying complexity.</w:t>
      </w:r>
    </w:p>
    <w:p>
      <w:pPr>
        <w:pStyle w:val="Heading1"/>
        <w:spacing w:after="200" w:before="360"/>
      </w:pPr>
      <w:r>
        <w:rPr>
          <w:rFonts w:ascii="Arial" w:cs="Arial" w:eastAsia="Arial" w:hAnsi="Arial"/>
          <w:b/>
          <w:bCs/>
          <w:color w:val="1E3A5F"/>
          <w:sz w:val="32"/>
          <w:szCs w:val="32"/>
        </w:rPr>
        <w:t xml:space="preserve">7. Placing Domains on the Index</w:t>
      </w:r>
    </w:p>
    <w:p>
      <w:pPr>
        <w:spacing w:after="160" w:line="276"/>
        <w:jc w:val="both"/>
      </w:pPr>
      <w:r>
        <w:rPr>
          <w:rFonts w:ascii="Arial" w:cs="Arial" w:eastAsia="Arial" w:hAnsi="Arial"/>
          <w:b w:val="false"/>
          <w:bCs w:val="false"/>
          <w:i w:val="false"/>
          <w:iCs w:val="false"/>
          <w:color w:val="333333"/>
          <w:sz w:val="22"/>
          <w:szCs w:val="22"/>
        </w:rPr>
        <w:t xml:space="preserve">With the chemistry results established, and the energy/finance results from earlier work, we can begin to position domains on the HUF Development Index. This is preliminary — each domain requires its own dedicated study — but the structure is already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HUF-IDX Range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Residual Source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Energy / Finance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~5% residual</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Market microstructure, regime transitions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Well-characterised. Temporal structure dominates. Residual maps known open questions.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Chemistry (interior)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~18–46% residual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Simplex curvature, absent dynamics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Moderately characterised. Geometric corrections close half the gap.</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333333"/>
                <w:sz w:val="20"/>
                <w:szCs w:val="20"/>
              </w:rPr>
              <w:t xml:space="preserve">Chemistry (boundary)</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~55–65% residual</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Curvature divergence, phase behaviour, trace concentrations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Poorly characterised at extremes. Largest analytical gap. Highest diagnostic value.</w:t>
            </w:r>
          </w:p>
        </w:tc>
      </w:tr>
    </w:tbl>
    <w:p>
      <w:pPr>
        <w:spacing w:after="200"/>
      </w:pPr>
    </w:p>
    <w:p>
      <w:pPr>
        <w:spacing w:after="160" w:line="276"/>
        <w:jc w:val="both"/>
      </w:pPr>
      <w:r>
        <w:rPr>
          <w:rFonts w:ascii="Arial" w:cs="Arial" w:eastAsia="Arial" w:hAnsi="Arial"/>
          <w:b w:val="false"/>
          <w:bCs w:val="false"/>
          <w:i w:val="false"/>
          <w:iCs w:val="false"/>
          <w:color w:val="333333"/>
          <w:sz w:val="22"/>
          <w:szCs w:val="22"/>
        </w:rPr>
        <w:t xml:space="preserve">The table reads from top to bottom as increasing development distance. The bottom row is not the worst science — it is the hardest problem. The distinction matters. HUF-IDX rewards difficulty with information. The harder the problem, the richer the diagnostic.</w:t>
      </w:r>
    </w:p>
    <w:p>
      <w:pPr>
        <w:pStyle w:val="Heading1"/>
        <w:spacing w:after="200" w:before="360"/>
      </w:pPr>
      <w:r>
        <w:rPr>
          <w:rFonts w:ascii="Arial" w:cs="Arial" w:eastAsia="Arial" w:hAnsi="Arial"/>
          <w:b/>
          <w:bCs/>
          <w:color w:val="1E3A5F"/>
          <w:sz w:val="32"/>
          <w:szCs w:val="32"/>
        </w:rPr>
        <w:t xml:space="preserve">8. Science in Review: What We Do About It</w:t>
      </w:r>
    </w:p>
    <w:p>
      <w:pPr>
        <w:spacing w:after="160" w:line="276"/>
        <w:jc w:val="both"/>
      </w:pPr>
      <w:r>
        <w:rPr>
          <w:rFonts w:ascii="Arial" w:cs="Arial" w:eastAsia="Arial" w:hAnsi="Arial"/>
          <w:b w:val="false"/>
          <w:bCs w:val="false"/>
          <w:i w:val="false"/>
          <w:iCs w:val="false"/>
          <w:color w:val="333333"/>
          <w:sz w:val="22"/>
          <w:szCs w:val="22"/>
        </w:rPr>
        <w:t xml:space="preserve">The findings document (EITT on the Chemical Simplex) presents the empirical results. This document presents the interpretive framework. Together they form a complete cycle: measure, then understand the measurement.</w:t>
      </w:r>
    </w:p>
    <w:p>
      <w:pPr>
        <w:spacing w:after="160" w:line="276"/>
        <w:jc w:val="both"/>
      </w:pPr>
      <w:r>
        <w:rPr>
          <w:rFonts w:ascii="Arial" w:cs="Arial" w:eastAsia="Arial" w:hAnsi="Arial"/>
          <w:b/>
          <w:bCs/>
          <w:i w:val="false"/>
          <w:iCs w:val="false"/>
          <w:color w:val="0D5C5C"/>
          <w:sz w:val="22"/>
          <w:szCs w:val="22"/>
        </w:rPr>
        <w:t xml:space="preserve">For chemists: </w:t>
      </w:r>
      <w:r>
        <w:rPr>
          <w:rFonts w:ascii="Arial" w:cs="Arial" w:eastAsia="Arial" w:hAnsi="Arial"/>
          <w:b w:val="false"/>
          <w:bCs w:val="false"/>
          <w:i w:val="false"/>
          <w:iCs w:val="false"/>
          <w:color w:val="333333"/>
          <w:sz w:val="22"/>
          <w:szCs w:val="22"/>
        </w:rPr>
        <w:t xml:space="preserve">the HUF-IDX identifies exactly where your entropy-based analyses are most vulnerable. Boundary compositions need Aitchison geometry, not Shannon entropy. The Jensen correction has a finite radius of validity. Multi-component systems above D=3 need dedicated attention to simplex curvature. These are actionable findings.</w:t>
      </w:r>
    </w:p>
    <w:p>
      <w:pPr>
        <w:spacing w:after="160" w:line="276"/>
        <w:jc w:val="both"/>
      </w:pPr>
      <w:r>
        <w:rPr>
          <w:rFonts w:ascii="Arial" w:cs="Arial" w:eastAsia="Arial" w:hAnsi="Arial"/>
          <w:b/>
          <w:bCs/>
          <w:i w:val="false"/>
          <w:iCs w:val="false"/>
          <w:color w:val="1E3A5F"/>
          <w:sz w:val="22"/>
          <w:szCs w:val="22"/>
        </w:rPr>
        <w:t xml:space="preserve">For CoDa practitioners: </w:t>
      </w:r>
      <w:r>
        <w:rPr>
          <w:rFonts w:ascii="Arial" w:cs="Arial" w:eastAsia="Arial" w:hAnsi="Arial"/>
          <w:b w:val="false"/>
          <w:bCs w:val="false"/>
          <w:i w:val="false"/>
          <w:iCs w:val="false"/>
          <w:color w:val="333333"/>
          <w:sz w:val="22"/>
          <w:szCs w:val="22"/>
        </w:rPr>
        <w:t xml:space="preserve">the chemistry results provide large-scale empirical evidence that the Aitchison distance is geometrically justified at the simplex boundary, not merely convenient. The EITT residual under Aitchison measurement is uniformly lower near boundary compositions, confirming that the log-ratio framework accounts for curvature that information-theoretic metrics do not. This is a structural validation of the standard CoDa metric from a completely independent direction.</w:t>
      </w:r>
    </w:p>
    <w:p>
      <w:pPr>
        <w:spacing w:after="160" w:line="276"/>
        <w:jc w:val="both"/>
      </w:pPr>
      <w:r>
        <w:rPr>
          <w:rFonts w:ascii="Arial" w:cs="Arial" w:eastAsia="Arial" w:hAnsi="Arial"/>
          <w:b/>
          <w:bCs/>
          <w:i w:val="false"/>
          <w:iCs w:val="false"/>
          <w:color w:val="8B6914"/>
          <w:sz w:val="22"/>
          <w:szCs w:val="22"/>
        </w:rPr>
        <w:t xml:space="preserve">For information theorists: </w:t>
      </w:r>
      <w:r>
        <w:rPr>
          <w:rFonts w:ascii="Arial" w:cs="Arial" w:eastAsia="Arial" w:hAnsi="Arial"/>
          <w:b w:val="false"/>
          <w:bCs w:val="false"/>
          <w:i w:val="false"/>
          <w:iCs w:val="false"/>
          <w:color w:val="333333"/>
          <w:sz w:val="22"/>
          <w:szCs w:val="22"/>
        </w:rPr>
        <w:t xml:space="preserve">the decomposition of EITT invariance into geometric and dynamic components provides a clean empirical test bed. The ~50/50 split between simplex geometry and temporal autocorrelation establishes quantitative bounds on what Shannon entropy can and cannot preserve under block decimation in the absence of temporal ordering.</w:t>
      </w:r>
    </w:p>
    <w:p>
      <w:pPr>
        <w:spacing w:after="160" w:line="276"/>
        <w:jc w:val="both"/>
      </w:pPr>
      <w:r>
        <w:rPr>
          <w:rFonts w:ascii="Arial" w:cs="Arial" w:eastAsia="Arial" w:hAnsi="Arial"/>
          <w:b/>
          <w:bCs/>
          <w:i w:val="false"/>
          <w:iCs w:val="false"/>
          <w:color w:val="333333"/>
          <w:sz w:val="22"/>
          <w:szCs w:val="22"/>
        </w:rPr>
        <w:t xml:space="preserve">For all domains: </w:t>
      </w:r>
      <w:r>
        <w:rPr>
          <w:rFonts w:ascii="Arial" w:cs="Arial" w:eastAsia="Arial" w:hAnsi="Arial"/>
          <w:b w:val="false"/>
          <w:bCs w:val="false"/>
          <w:i w:val="false"/>
          <w:iCs w:val="false"/>
          <w:color w:val="333333"/>
          <w:sz w:val="22"/>
          <w:szCs w:val="22"/>
        </w:rPr>
        <w:t xml:space="preserve">HUF-IDX is domain-agnostic. Any system that produces compositional or distributional data can be tested. The diagnostic fingerprint — which lenses fail, how they fail, and what corrections close the gap — is unique to each domain and provides a roadmap for where analytical effort will yield the highest return.</w:t>
      </w:r>
    </w:p>
    <w:p>
      <w:pPr>
        <w:pStyle w:val="Heading1"/>
        <w:spacing w:after="200" w:before="360"/>
      </w:pPr>
      <w:r>
        <w:rPr>
          <w:rFonts w:ascii="Arial" w:cs="Arial" w:eastAsia="Arial" w:hAnsi="Arial"/>
          <w:b/>
          <w:bCs/>
          <w:color w:val="1E3A5F"/>
          <w:sz w:val="32"/>
          <w:szCs w:val="32"/>
        </w:rPr>
        <w:t xml:space="preserve">9. The Instrument Never Fails</w:t>
      </w:r>
    </w:p>
    <w:p>
      <w:pPr>
        <w:spacing w:after="160" w:line="276"/>
        <w:jc w:val="both"/>
      </w:pPr>
      <w:r>
        <w:rPr>
          <w:rFonts w:ascii="Arial" w:cs="Arial" w:eastAsia="Arial" w:hAnsi="Arial"/>
          <w:b w:val="false"/>
          <w:bCs w:val="false"/>
          <w:i w:val="false"/>
          <w:iCs w:val="false"/>
          <w:color w:val="333333"/>
          <w:sz w:val="22"/>
          <w:szCs w:val="22"/>
        </w:rPr>
        <w:t xml:space="preserve">This claim requires precision. EITT can produce a zero residual (invariance holds exactly) or a non-zero residual (invariance is broken by some identifiable mechanism). In neither case does the instrument fail to produce a reading. A zero residual means the domain’s entropy structure is fully captured by the current analytical framework. A non-zero residual means it is not, and the structure of the residual identifies why.</w:t>
      </w:r>
    </w:p>
    <w:p>
      <w:pPr>
        <w:spacing w:after="160" w:line="276"/>
        <w:jc w:val="both"/>
      </w:pPr>
      <w:r>
        <w:rPr>
          <w:rFonts w:ascii="Arial" w:cs="Arial" w:eastAsia="Arial" w:hAnsi="Arial"/>
          <w:b w:val="false"/>
          <w:bCs w:val="false"/>
          <w:i w:val="false"/>
          <w:iCs w:val="false"/>
          <w:color w:val="333333"/>
          <w:sz w:val="22"/>
          <w:szCs w:val="22"/>
        </w:rPr>
        <w:t xml:space="preserve">There is no outcome in which HUF returns no information. The pass is informative (the framework works here). The failure is informative (the framework does not work here, and here is specifically what breaks it). The magnitude is informative (how far). The lens comparison is informative (which analytical approach closes the gap). The boundary/interior split is informative (where on the manifold the problem lives).</w:t>
      </w:r>
    </w:p>
    <w:p>
      <w:pPr>
        <w:spacing w:after="160" w:line="276"/>
        <w:jc w:val="both"/>
      </w:pPr>
      <w:r>
        <w:rPr>
          <w:rFonts w:ascii="Arial" w:cs="Arial" w:eastAsia="Arial" w:hAnsi="Arial"/>
          <w:b w:val="false"/>
          <w:bCs w:val="false"/>
          <w:i w:val="false"/>
          <w:iCs w:val="false"/>
          <w:color w:val="333333"/>
          <w:sz w:val="22"/>
          <w:szCs w:val="22"/>
        </w:rPr>
        <w:t xml:space="preserve">This is not a philosophical claim. It is a structural property of the test. Any diagnostic based on a well-defined invariance condition will partition outcomes into “invariance holds” and “invariance broken by X,” and both partitions carry information. HUF-IDX simply names this property and provides a framework for reading the result systematically.</w:t>
      </w:r>
    </w:p>
    <w:p>
      <w:pPr>
        <w:pStyle w:val="Heading1"/>
        <w:spacing w:after="200" w:before="360"/>
      </w:pPr>
      <w:r>
        <w:rPr>
          <w:rFonts w:ascii="Arial" w:cs="Arial" w:eastAsia="Arial" w:hAnsi="Arial"/>
          <w:b/>
          <w:bCs/>
          <w:color w:val="1E3A5F"/>
          <w:sz w:val="32"/>
          <w:szCs w:val="32"/>
        </w:rPr>
        <w:t xml:space="preserve">10. Honest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Disclosure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HUF-IDX is a framework, not a validated index. The chemistry results are the first domain-comparison data point. Formal validation requires testing across 5+ domains.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50/50 geometry-dynamics decomposition is approximate and based on comparison of two domains. The true ratio may vary by system.</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Chemistry datasets used composition sweeps, not temporal series. HUF-IDX for temporally ordered chemistry data (reaction kinetics, in-situ monitoring) may read very differently.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“instrument never fails” claim is about information content, not about statistical power. Small samples may produce unreliable readings even though they always produce readings.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peer review has been conducted on this interpretive framework. The empirical results stand independently; the HUF-IDX interpretation is a proposal.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author is the originator of HUF. This document is self-assessment, not independent evaluation.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Adjacent-field “gains” are projected, not confirmed. Each requires domain-specific validation.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This document is science in review, not science in conclusion. It is a working framework intended to evolve.</w:t>
            </w:r>
          </w:p>
        </w:tc>
      </w:tr>
    </w:tbl>
    <w:p>
      <w:pPr>
        <w:spacing w:after="200"/>
      </w:pPr>
    </w:p>
    <w:p>
      <w:pPr>
        <w:pBdr>
          <w:bottom w:val="single" w:color="0D5C5C" w:sz="6" w:space="1"/>
        </w:pBdr>
        <w:spacing w:after="200"/>
      </w:pPr>
    </w:p>
    <w:p>
      <w:pPr>
        <w:spacing w:after="160" w:line="276"/>
        <w:jc w:val="both"/>
      </w:pPr>
      <w:r>
        <w:rPr>
          <w:rFonts w:ascii="Arial" w:cs="Arial" w:eastAsia="Arial" w:hAnsi="Arial"/>
          <w:b/>
          <w:bCs/>
          <w:i w:val="false"/>
          <w:iCs w:val="false"/>
          <w:color w:val="0D5C5C"/>
          <w:sz w:val="22"/>
          <w:szCs w:val="22"/>
        </w:rPr>
        <w:t xml:space="preserve">Standard: </w:t>
      </w:r>
      <w:r>
        <w:rPr>
          <w:rFonts w:ascii="Arial" w:cs="Arial" w:eastAsia="Arial" w:hAnsi="Arial"/>
          <w:b w:val="false"/>
          <w:bCs w:val="false"/>
          <w:i w:val="false"/>
          <w:iCs w:val="false"/>
          <w:color w:val="333333"/>
          <w:sz w:val="22"/>
          <w:szCs w:val="22"/>
        </w:rPr>
        <w:t xml:space="preserve">RWA-001 (Rogue Wave Audio Corporate Reference).</w:t>
      </w:r>
    </w:p>
    <w:p>
      <w:pPr>
        <w:spacing w:after="160" w:line="276"/>
        <w:jc w:val="both"/>
      </w:pPr>
      <w:r>
        <w:rPr>
          <w:rFonts w:ascii="Arial" w:cs="Arial" w:eastAsia="Arial" w:hAnsi="Arial"/>
          <w:b/>
          <w:bCs/>
          <w:i w:val="false"/>
          <w:iCs w:val="false"/>
          <w:color w:val="0D5C5C"/>
          <w:sz w:val="22"/>
          <w:szCs w:val="22"/>
        </w:rPr>
        <w:t xml:space="preserve">Governance: </w:t>
      </w:r>
      <w:r>
        <w:rPr>
          <w:rFonts w:ascii="Arial" w:cs="Arial" w:eastAsia="Arial" w:hAnsi="Arial"/>
          <w:b w:val="false"/>
          <w:bCs w:val="false"/>
          <w:i w:val="false"/>
          <w:iCs w:val="false"/>
          <w:color w:val="333333"/>
          <w:sz w:val="22"/>
          <w:szCs w:val="22"/>
        </w:rPr>
        <w:t xml:space="preserve">HUF-GOV. Measure, report, file. No intervention on the data.</w:t>
      </w:r>
    </w:p>
    <w:p>
      <w:pPr>
        <w:spacing w:after="160" w:line="276"/>
        <w:jc w:val="both"/>
      </w:pPr>
      <w:r>
        <w:rPr>
          <w:rFonts w:ascii="Arial" w:cs="Arial" w:eastAsia="Arial" w:hAnsi="Arial"/>
          <w:b/>
          <w:bCs/>
          <w:i w:val="false"/>
          <w:iCs w:val="false"/>
          <w:color w:val="0D5C5C"/>
          <w:sz w:val="22"/>
          <w:szCs w:val="22"/>
        </w:rPr>
        <w:t xml:space="preserve">Companion document: </w:t>
      </w:r>
      <w:r>
        <w:rPr>
          <w:rFonts w:ascii="Arial" w:cs="Arial" w:eastAsia="Arial" w:hAnsi="Arial"/>
          <w:b w:val="false"/>
          <w:bCs w:val="false"/>
          <w:i w:val="false"/>
          <w:iCs w:val="false"/>
          <w:color w:val="333333"/>
          <w:sz w:val="22"/>
          <w:szCs w:val="22"/>
        </w:rPr>
        <w:t xml:space="preserve">EITT on the Chemical Simplex (empirical findings, diagnostic lenses, failure taxonomy).</w:t>
      </w:r>
    </w:p>
    <w:p>
      <w:pPr>
        <w:spacing w:after="160" w:line="276"/>
        <w:jc w:val="both"/>
      </w:pPr>
      <w:r>
        <w:rPr>
          <w:rFonts w:ascii="Arial" w:cs="Arial" w:eastAsia="Arial" w:hAnsi="Arial"/>
          <w:b/>
          <w:bCs/>
          <w:i w:val="false"/>
          <w:iCs w:val="false"/>
          <w:color w:val="0D5C5C"/>
          <w:sz w:val="22"/>
          <w:szCs w:val="22"/>
        </w:rPr>
        <w:t xml:space="preserve">Repository: </w:t>
      </w:r>
      <w:r>
        <w:rPr>
          <w:rFonts w:ascii="Arial" w:cs="Arial" w:eastAsia="Arial" w:hAnsi="Arial"/>
          <w:b w:val="false"/>
          <w:bCs w:val="false"/>
          <w:i w:val="false"/>
          <w:iCs w:val="false"/>
          <w:color w:val="333333"/>
          <w:sz w:val="22"/>
          <w:szCs w:val="22"/>
        </w:rPr>
        <w:t xml:space="preserve">github.com/PeterHiggins19/Higgins-Unity-Framework</w:t>
      </w:r>
    </w:p>
    <w:p>
      <w:pPr>
        <w:spacing w:after="100"/>
      </w:pPr>
    </w:p>
    <w:p>
      <w:pPr>
        <w:spacing w:after="40"/>
        <w:jc w:val="center"/>
      </w:pPr>
      <w:r>
        <w:rPr>
          <w:rFonts w:ascii="Arial" w:cs="Arial" w:eastAsia="Arial" w:hAnsi="Arial"/>
          <w:color w:val="666666"/>
          <w:sz w:val="18"/>
          <w:szCs w:val="18"/>
        </w:rPr>
        <w:t xml:space="preserve">Peter Higgins  |  Rogue Wave Audio  |  PeterHiggins@RogueWaveAudio.com  |  April 2026</w:t>
      </w:r>
    </w:p>
    <w:p>
      <w:pPr>
        <w:jc w:val="center"/>
      </w:pPr>
      <w:r>
        <w:rPr>
          <w:rFonts w:ascii="Arial" w:cs="Arial" w:eastAsia="Arial" w:hAnsi="Arial"/>
          <w:i/>
          <w:iCs/>
          <w:color w:val="666666"/>
          <w:sz w:val="18"/>
          <w:szCs w:val="18"/>
        </w:rPr>
        <w:t xml:space="preserve">All code, data, and this report available at PeterHiggins19/Higgins-Unity-Framework.</w:t>
      </w:r>
    </w:p>
    <w:p>
      <w:pPr>
        <w:jc w:val="center"/>
      </w:pPr>
      <w:r>
        <w:rPr>
          <w:rFonts w:ascii="Arial" w:cs="Arial" w:eastAsia="Arial" w:hAnsi="Arial"/>
          <w:i/>
          <w:iCs/>
          <w:color w:val="666666"/>
          <w:sz w:val="18"/>
          <w:szCs w:val="18"/>
        </w:rPr>
        <w:t xml:space="preserve">Multi-adversarial review (Claude, ChatGPT, Grok, Gemini, Copilot) applied throughout.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999999"/>
        <w:sz w:val="16"/>
        <w:szCs w:val="16"/>
      </w:rPr>
      <w:t xml:space="preserve">Peter Higgins | Rogue Wave Audio | PeterHiggins@RogueWaveAudio.com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C5C" w:sz="4" w:space="1"/>
      </w:pBdr>
      <w:jc w:val="right"/>
    </w:pPr>
    <w:r>
      <w:rPr>
        <w:rFonts w:ascii="Arial" w:cs="Arial" w:eastAsia="Arial" w:hAnsi="Arial"/>
        <w:color w:val="999999"/>
        <w:sz w:val="16"/>
        <w:szCs w:val="16"/>
      </w:rPr>
      <w:t xml:space="preserve">HUF Development Index  |  </w:t>
    </w:r>
    <w:r>
      <w:rPr>
        <w:rFonts w:ascii="Arial" w:cs="Arial" w:eastAsia="Arial" w:hAnsi="Arial"/>
        <w:b/>
        <w:bCs/>
        <w:color w:val="0D5C5C"/>
        <w:sz w:val="16"/>
        <w:szCs w:val="16"/>
      </w:rPr>
      <w:t xml:space="preserve">Rogue Wave Audio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2026-04-11T04:43:03.693Z</dcterms:created>
  <dcterms:modified xsi:type="dcterms:W3CDTF">2026-04-11T04:43:03.693Z</dcterms:modified>
</cp:coreProperties>
</file>

<file path=docProps/custom.xml><?xml version="1.0" encoding="utf-8"?>
<Properties xmlns="http://schemas.openxmlformats.org/officeDocument/2006/custom-properties" xmlns:vt="http://schemas.openxmlformats.org/officeDocument/2006/docPropsVTypes"/>
</file>