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40"/>
          <w:szCs w:val="40"/>
        </w:rPr>
        <w:t xml:space="preserve">THE MISSING QUARTER</w:t>
      </w:r>
    </w:p>
    <w:p>
      <w:pPr>
        <w:spacing w:after="80"/>
        <w:jc w:val="center"/>
      </w:pPr>
      <w:r>
        <w:rPr>
          <w:rFonts w:ascii="Georgia" w:cs="Georgia" w:eastAsia="Georgia" w:hAnsi="Georgia"/>
          <w:i/>
          <w:iCs/>
          <w:sz w:val="28"/>
          <w:szCs w:val="28"/>
        </w:rPr>
        <w:t xml:space="preserve">Composition as a Fourth Category of System Monitoring</w:t>
      </w:r>
    </w:p>
    <w:p>
      <w:pPr>
        <w:spacing w:after="80"/>
        <w:jc w:val="center"/>
      </w:pPr>
      <w:r>
        <w:rPr>
          <w:rFonts w:ascii="Georgia" w:cs="Georgia" w:eastAsia="Georgia" w:hAnsi="Georgia"/>
          <w:i/>
          <w:iCs/>
          <w:sz w:val="28"/>
          <w:szCs w:val="28"/>
        </w:rPr>
        <w:t xml:space="preserve">and a Governance Scale for Planetary Complexity</w:t>
      </w:r>
    </w:p>
    <w:p>
      <w:pPr>
        <w:spacing w:after="200"/>
        <w:jc w:val="center"/>
      </w:pPr>
      <w:r>
        <w:rPr>
          <w:rFonts w:ascii="Georgia" w:cs="Georgia" w:eastAsia="Georgia" w:hAnsi="Georgia"/>
          <w:sz w:val="24"/>
          <w:szCs w:val="24"/>
        </w:rPr>
        <w:t xml:space="preserve">A Letter to Dr. Jordan B. Peterson</w:t>
      </w:r>
    </w:p>
    <w:p>
      <w:pPr>
        <w:spacing w:after="40"/>
        <w:jc w:val="center"/>
      </w:pPr>
      <w:r>
        <w:rPr>
          <w:rFonts w:ascii="Georgia" w:cs="Georgia" w:eastAsia="Georgia" w:hAnsi="Georgia"/>
          <w:b/>
          <w:bCs/>
          <w:sz w:val="24"/>
          <w:szCs w:val="24"/>
        </w:rPr>
        <w:t xml:space="preserve">Peter Higgins</w:t>
      </w:r>
    </w:p>
    <w:p>
      <w:pPr>
        <w:spacing w:after="400"/>
        <w:jc w:val="center"/>
      </w:pPr>
      <w:r>
        <w:rPr>
          <w:rFonts w:ascii="Georgia" w:cs="Georgia" w:eastAsia="Georgia" w:hAnsi="Georgia"/>
          <w:color w:val="666666"/>
          <w:sz w:val="22"/>
          <w:szCs w:val="22"/>
        </w:rPr>
        <w:t xml:space="preserve">April 2026</w:t>
      </w:r>
    </w:p>
    <w:p>
      <w:pPr>
        <w:pStyle w:val="Heading1"/>
      </w:pPr>
      <w:r>
        <w:t xml:space="preserve">I. Why I Am Writing to You</w:t>
      </w:r>
    </w:p>
    <w:p>
      <w:pPr>
        <w:spacing w:after="200"/>
      </w:pPr>
      <w:r>
        <w:t xml:space="preserve">Dr. Peterson,</w:t>
      </w:r>
    </w:p>
    <w:p>
      <w:pPr>
        <w:spacing w:after="200"/>
      </w:pPr>
      <w:r>
        <w:t xml:space="preserve">I watched your lecture on a general theory of meaning, and I recognised something in it. Not a metaphor. A structural correspondence. Your description of perception as compression — the reduction of infinite environmental complexity to actionable structure — maps precisely onto a mathematical framework I have spent six months building. Your articulation of hierarchies of value as nested structures that maintain internal balance maps onto it. Your work on the boundary between explored and unexplored territory maps onto it. Fourteen independent correspondences between your published positions and this framework have been documented. I am writing because that convergence is either coincidence or evidence, and I believe you are the right person to determine which.</w:t>
      </w:r>
    </w:p>
    <w:p>
      <w:pPr>
        <w:spacing w:after="200"/>
      </w:pPr>
      <w:r>
        <w:t xml:space="preserve">Since I last drafted this letter, three things have changed that elevate the conversation from theory to evidence. First, I computed a third diagnostic — the coherence residual — which measures whether the structural coupling between subsystems is holding or quietly breaking. Applied to energy systems across three countries over 25 years, it reveals that 31% of all transitions show invisible structural reorganisation behind stable-looking compositions. The wetland that looks healthy while the food web restructures. The society that looks stable while the relationships between groups silently degrade. Your words: </w:t>
      </w:r>
      <w:r>
        <w:rPr>
          <w:i/>
          <w:iCs/>
        </w:rPr>
        <w:t xml:space="preserve">seething with complexity behind a calm persona</w:t>
      </w:r>
      <w:r>
        <w:t xml:space="preserve">. Measured.</w:t>
      </w:r>
    </w:p>
    <w:p>
      <w:pPr>
        <w:spacing w:after="200"/>
      </w:pPr>
      <w:r>
        <w:t xml:space="preserve">Second, I validated the framework on an entirely different domain — hard drive fleet health across 900,000 drives in data centres. Different physics, different carriers, different temporal structure. The same three diagnostics detect the same patterns. The coherence residual speaks in both languages. Domain independence is no longer a claim. It is a result.</w:t>
      </w:r>
    </w:p>
    <w:p>
      <w:pPr>
        <w:spacing w:after="200"/>
      </w:pPr>
      <w:r>
        <w:t xml:space="preserve">Third, I built a governance scale — the Compositional Governance Scale — modelled on Kardashev’s 1964 energy civilisation scale. Five levels, from instrument proof to universal standard. Logarithmic. Target-first. We defined where the bullseye is before measuring how far we are from it. The current position is Level 1. Full planetary governance is Level 4. The gap is five orders of magnitude. The staircase is drawn.</w:t>
      </w:r>
    </w:p>
    <w:p>
      <w:pPr>
        <w:spacing w:after="200"/>
      </w:pPr>
      <w:r>
        <w:t xml:space="preserve">My career has been thirty-five years as a field engineer for automated industrial systems — X-ray inspection, robotic placement, wave solder, automated optical inspection — across the Canadian electronics manufacturing industry. In Montreal, at a major telecommunications facility, a colleague entered a live placement machine without proper lockout. The machine was not secured. He survived because a shear bolt, engineered as a sacrificial failure point, broke at exactly the right location and tripped a safety sensor. I restored confidence in the workforce by showing both sides: a reckless mistake was made, but the machine’s safety design also worked exactly as intended. That is what I do — I stand between complex systems and the people who operate them, and I make the relationship work.</w:t>
      </w:r>
    </w:p>
    <w:p>
      <w:pPr>
        <w:pStyle w:val="Heading1"/>
      </w:pPr>
      <w:r>
        <w:t xml:space="preserve">II. The Mathematics Is Not New. The Application Is.</w:t>
      </w:r>
    </w:p>
    <w:p>
      <w:pPr>
        <w:spacing w:after="200"/>
      </w:pPr>
      <w:r>
        <w:t xml:space="preserve">The mathematics of compositional data was formalised by John Aitchison at the University of Glasgow in 1982. He established the simplex as the sample space, introduced the logratio transformations, and founded an entire discipline: Compositional Data Analysis (CoDa), with forty years of peer-reviewed literature. The measurement taxonomy was formalised by Stanley Smith Stevens at Harvard in 1946. None of this is mine.</w:t>
      </w:r>
    </w:p>
    <w:p>
      <w:pPr>
        <w:spacing w:after="200"/>
      </w:pPr>
      <w:r>
        <w:t xml:space="preserve">What is new: applying established mathematics as a </w:t>
      </w:r>
      <w:r>
        <w:rPr>
          <w:i/>
          <w:iCs/>
        </w:rPr>
        <w:t xml:space="preserve">monitoring instrument</w:t>
      </w:r>
      <w:r>
        <w:t xml:space="preserve">, pointing it at real-world systems, and observing that structural composition changes carry lead-time information that magnitude-based monitoring cannot access. The framework — the Higgins Unity Framework, HUF — grew from loudspeaker crossover networks, where I had twenty-five years of experience dividing a full-range audio signal into frequency bands. A crossover is an energy management system: the total power budget is fixed, and every watt routed to one driver is a watt not available to another. When I normalised the power distribution across frequency bands, the resulting structure exhibited forward-looking behaviour. Internal concentration changes appeared before the total system output moved.</w:t>
      </w:r>
    </w:p>
    <w:p>
      <w:pPr>
        <w:spacing w:after="200"/>
      </w:pPr>
      <w:r>
        <w:t xml:space="preserve">I am presenting this framework at CoDaWork 2026 in Coimbra, Portugal this June — the international conference of the compositional data analysis community. The mathematician who reviewed the abstract accepted it. The community that owns the mathematics will examine the application.</w:t>
      </w:r>
    </w:p>
    <w:p>
      <w:pPr>
        <w:pStyle w:val="Heading1"/>
      </w:pPr>
      <w:r>
        <w:t xml:space="preserve">III. The Third Diagnostic: Structural Coupling</w:t>
      </w:r>
    </w:p>
    <w:p>
      <w:pPr>
        <w:spacing w:after="200"/>
      </w:pPr>
      <w:r>
        <w:t xml:space="preserve">The first two diagnostics tell you </w:t>
      </w:r>
      <w:r>
        <w:rPr>
          <w:i/>
          <w:iCs/>
        </w:rPr>
        <w:t xml:space="preserve">what happened</w:t>
      </w:r>
      <w:r>
        <w:t xml:space="preserve"> to a composition. Total Variation measures how much mass moved between carriers. Aitchison distance measures how the geometry changed on the simplex. Both diagnose the composition.</w:t>
      </w:r>
    </w:p>
    <w:p>
      <w:pPr>
        <w:spacing w:after="200"/>
      </w:pPr>
      <w:r>
        <w:t xml:space="preserve">The third diagnostic — the coherence residual — asks a different question entirely: </w:t>
      </w:r>
      <w:r>
        <w:rPr>
          <w:i/>
          <w:iCs/>
        </w:rPr>
        <w:t xml:space="preserve">is the structural coupling between subsystems holding or breaking?</w:t>
      </w:r>
      <w:r>
        <w:t xml:space="preserve"> It does not diagnose the composition. It diagnoses the partition — whether the groups you defined still behave as groups, or whether the relationships between them are quietly reorganising.</w:t>
      </w:r>
    </w:p>
    <w:p>
      <w:pPr>
        <w:spacing w:after="200"/>
      </w:pPr>
      <w:r>
        <w:t xml:space="preserve">This is the diagnostic that matters most for the question you have spent your career studying. A society where the statistics look stable — employment steady, GDP growing, crime declining — but the structural coupling between groups is quietly reorganising is a society that </w:t>
      </w:r>
      <w:r>
        <w:rPr>
          <w:i/>
          <w:iCs/>
        </w:rPr>
        <w:t xml:space="preserve">looks healthy and is failing</w:t>
      </w:r>
      <w:r>
        <w:t xml:space="preserve">. The composition hasn’t moved yet. The relationships underneath are already broken. By the time the composition moves, the structural damage is done.</w:t>
      </w:r>
    </w:p>
    <w:p>
      <w:pPr>
        <w:spacing w:after="200"/>
      </w:pPr>
      <w:r>
        <w:t xml:space="preserve">Applied to EMBER energy data across Germany, Japan, and the United Kingdom over 25 years: 31% of all year-to-year transitions show significant structural coupling change while the composition itself appears stable. Only 1.4% of transitions show a pure local event with no cross-branch coupling. In energy systems, almost nothing happens in isolation. Every structural shift propagates through the hierarchy. The Fukushima nuclear shutdown in 2011 did not just reduce Japan’s nuclear share — it restructured the coupling between gas and other fossil fuels as the system scrambled to replace capacity. The coherence residual measured that cross-branch coupling at 0.98 at the most affected boundary.</w:t>
      </w:r>
    </w:p>
    <w:p>
      <w:pPr>
        <w:spacing w:after="200"/>
      </w:pPr>
      <w:r>
        <w:t xml:space="preserve">Applied to Backblaze hard drive fleet data across 900,000 drives: the same three diagnostics detect the same patterns in a completely different domain. HGST drives show coupled degradation events. Western Digital shows structural coupling signals. Seagate shows the same invisible-restructuring pattern. Different physics. Same mathematics. Same diagnostic.</w:t>
      </w:r>
    </w:p>
    <w:p>
      <w:pPr>
        <w:pStyle w:val="Heading1"/>
      </w:pPr>
      <w:r>
        <w:t xml:space="preserve">IV. The Governance Scale: A Staircase to the Stars</w:t>
      </w:r>
    </w:p>
    <w:p>
      <w:pPr>
        <w:spacing w:after="200"/>
      </w:pPr>
      <w:r>
        <w:t xml:space="preserve">In 1964, Nikolai Kardashev defined a scale for civilisational energy. He drew the target before anyone reached Level 1. The levels are logarithmic because energy consumption grows exponentially. The target is universal because it measures one quantity. And it exists before the achievement — you know where you are going before you measure where you are.</w:t>
      </w:r>
    </w:p>
    <w:p>
      <w:pPr>
        <w:spacing w:after="200"/>
      </w:pPr>
      <w:r>
        <w:t xml:space="preserve">I have built the same thing for compositional governance. The Compositional Governance Scale (CGS) measures Governed Degrees of Freedom — the total number of independent compositional measurement points being simultaneously monitored with validated diagnostics across all domains. CGS = log</w:t>
      </w:r>
      <w:r>
        <w:rPr>
          <w:vertAlign w:val="subscript"/>
        </w:rPr>
        <w:t xml:space="preserve">10</w:t>
      </w:r>
      <w:r>
        <w:t xml:space="preserve">(GDoF). Five levels:</w:t>
      </w:r>
    </w:p>
    <w:p>
      <w:pPr>
        <w:spacing w:after="100"/>
        <w:ind w:left="720"/>
      </w:pPr>
      <w:r>
        <w:rPr>
          <w:b/>
          <w:bCs/>
        </w:rPr>
        <w:t xml:space="preserve">CGS-1: Instrument Proof.</w:t>
      </w:r>
      <w:r>
        <w:t xml:space="preserve"> Single domain, diagnostics demonstrated. </w:t>
      </w:r>
      <w:r>
        <w:rPr>
          <w:i/>
          <w:iCs/>
        </w:rPr>
        <w:t xml:space="preserve">We are here.</w:t>
      </w:r>
    </w:p>
    <w:p>
      <w:pPr>
        <w:spacing w:after="100"/>
        <w:ind w:left="720"/>
      </w:pPr>
      <w:r>
        <w:rPr>
          <w:b/>
          <w:bCs/>
        </w:rPr>
        <w:t xml:space="preserve">CGS-2: Cross-Domain Validation.</w:t>
      </w:r>
      <w:r>
        <w:t xml:space="preserve"> Two domains, three diagnostics, peer-reviewed. </w:t>
      </w:r>
      <w:r>
        <w:rPr>
          <w:i/>
          <w:iCs/>
        </w:rPr>
        <w:t xml:space="preserve">Coimbra target.</w:t>
      </w:r>
    </w:p>
    <w:p>
      <w:pPr>
        <w:spacing w:after="100"/>
        <w:ind w:left="720"/>
      </w:pPr>
      <w:r>
        <w:rPr>
          <w:b/>
          <w:bCs/>
        </w:rPr>
        <w:t xml:space="preserve">CGS-3: Operational Deployment.</w:t>
      </w:r>
      <w:r>
        <w:t xml:space="preserve"> Real institutional monitoring at scale. Ramsar pilot.</w:t>
      </w:r>
    </w:p>
    <w:p>
      <w:pPr>
        <w:spacing w:after="100"/>
        <w:ind w:left="720"/>
      </w:pPr>
      <w:r>
        <w:rPr>
          <w:b/>
          <w:bCs/>
        </w:rPr>
        <w:t xml:space="preserve">CGS-4: Network Governance.</w:t>
      </w:r>
      <w:r>
        <w:t xml:space="preserve"> Planetary ecological monitoring. 2,500 Ramsar wetlands. ISO-level standard.</w:t>
      </w:r>
    </w:p>
    <w:p>
      <w:pPr>
        <w:spacing w:after="200"/>
        <w:ind w:left="720"/>
      </w:pPr>
      <w:r>
        <w:rPr>
          <w:b/>
          <w:bCs/>
        </w:rPr>
        <w:t xml:space="preserve">CGS-5: Universal Standard.</w:t>
      </w:r>
      <w:r>
        <w:t xml:space="preserve"> All compositional domains — ecology, energy, finance, industry, health, climate, oceans — monitored simultaneously. Treaty-level governance. The compositional equivalent of Kardashev V.</w:t>
      </w:r>
    </w:p>
    <w:p>
      <w:pPr>
        <w:spacing w:after="200"/>
      </w:pPr>
      <w:r>
        <w:t xml:space="preserve">The gap between where we are and where the planet needs us to be is five orders of magnitude. One hundred thousand times more governed complexity than we currently monitor. The staircase is drawn. The first step has been climbed. The second step was climbed today.</w:t>
      </w:r>
    </w:p>
    <w:p>
      <w:pPr>
        <w:pStyle w:val="Heading1"/>
      </w:pPr>
      <w:r>
        <w:t xml:space="preserve">V. The Instrument Reads. The Human Decides.</w:t>
      </w:r>
    </w:p>
    <w:p>
      <w:pPr>
        <w:spacing w:after="200"/>
      </w:pPr>
      <w:r>
        <w:t xml:space="preserve">There is a principle I hold to with the rigidity of an engineer who has seen what happens when control loops close without understanding: </w:t>
      </w:r>
      <w:r>
        <w:rPr>
          <w:i/>
          <w:iCs/>
        </w:rPr>
        <w:t xml:space="preserve">the instrument reads, the human decides, the loop stays open.</w:t>
      </w:r>
    </w:p>
    <w:p>
      <w:pPr>
        <w:spacing w:after="200"/>
      </w:pPr>
      <w:r>
        <w:t xml:space="preserve">An altimeter reads altitude. It does not pull the parachute cord. The skydiver sees the reading, processes it through training, experience, and judgment, and decides when to pull. If the altimeter pulled the cord automatically, we would call that a control system, and we would demand it be regulated, tested, and certified.</w:t>
      </w:r>
    </w:p>
    <w:p>
      <w:pPr>
        <w:spacing w:after="200"/>
      </w:pPr>
      <w:r>
        <w:t xml:space="preserve">The corollary: </w:t>
      </w:r>
      <w:r>
        <w:rPr>
          <w:i/>
          <w:iCs/>
        </w:rPr>
        <w:t xml:space="preserve">it must cost us real work to use AI</w:t>
      </w:r>
      <w:r>
        <w:t xml:space="preserve">. Not money — real cognitive effort. If AI assistance is frictionless, the loop closes by default. The human is no longer reading the instrument; the instrument is pulling the cord. Every institution that adopts AI-driven analytics without requiring the operators to understand the output is closing the loop. The efficiency gain is real. The governance loss is invisible — until it is catastrophic.</w:t>
      </w:r>
    </w:p>
    <w:p>
      <w:pPr>
        <w:spacing w:after="200"/>
      </w:pPr>
      <w:r>
        <w:t xml:space="preserve">Maintaining the open loop is thermodynamically expensive. That expense is not a bug. It is the governance mechanism. You have said the same thing about meaning: it is purchased through voluntary confrontation with difficulty. The easy path leads to nihilism. The costly path leads to integration. The open loop IS the costly path. The closed loop IS the easy one.</w:t>
      </w:r>
    </w:p>
    <w:p>
      <w:pPr>
        <w:pStyle w:val="Heading1"/>
      </w:pPr>
      <w:r>
        <w:t xml:space="preserve">VI. Why You, and Why Now</w:t>
      </w:r>
    </w:p>
    <w:p>
      <w:pPr>
        <w:spacing w:after="200"/>
      </w:pPr>
      <w:r>
        <w:t xml:space="preserve">Here is what I understood today, and why this letter could not wait another revision cycle.</w:t>
      </w:r>
    </w:p>
    <w:p>
      <w:pPr>
        <w:spacing w:after="200"/>
      </w:pPr>
      <w:r>
        <w:t xml:space="preserve">The Compositional Governance Scale is not a scale for instruments. It is a scale for cooperation. Each level requires deeper collaboration between more disciplines across more domains. CGS-1 required an engineer working with AI. CGS-2 requires a mathematician at a conference. CGS-3 requires an ecologist and a wetland manager. CGS-4 requires international institutions. CGS-5 requires civilisational coordination.</w:t>
      </w:r>
    </w:p>
    <w:p>
      <w:pPr>
        <w:spacing w:after="200"/>
      </w:pPr>
      <w:r>
        <w:t xml:space="preserve">The mathematics measures whether systems that sum to a whole are governing their internal structure coherently. But the </w:t>
      </w:r>
      <w:r>
        <w:rPr>
          <w:i/>
          <w:iCs/>
        </w:rPr>
        <w:t xml:space="preserve">reason</w:t>
      </w:r>
      <w:r>
        <w:t xml:space="preserve"> to measure it — the reason to climb the staircase — is not scientific. It is human. We are trying to get engineers and geologists and mathematicians and ecologists to do the science, but to do it for a reason: self-advancement through governed cooperation with other systems. Not competition. Not dominance. Coherent coupling at the boundaries between disciplines, between institutions, between nations. The Q-inquisitor asks: is the coupling clean? Where is the leakage? Is it growing?</w:t>
      </w:r>
    </w:p>
    <w:p>
      <w:pPr>
        <w:spacing w:after="200"/>
      </w:pPr>
      <w:r>
        <w:t xml:space="preserve">That question applies to the coupling between ecology and economy. Between science and policy. Between AI and the humans who use it. Between an engineer in Markham and a psychologist in Toronto. The coherence residual measures whether the relationship is working or whether one side is leaking into the other without consent or awareness.</w:t>
      </w:r>
    </w:p>
    <w:p>
      <w:pPr>
        <w:spacing w:after="200"/>
      </w:pPr>
      <w:r>
        <w:t xml:space="preserve">You are the person who can stand in front of a room of scientists and say: </w:t>
      </w:r>
      <w:r>
        <w:rPr>
          <w:i/>
          <w:iCs/>
        </w:rPr>
        <w:t xml:space="preserve">the mathematics serves humanity, not the other way around.</w:t>
      </w:r>
      <w:r>
        <w:t xml:space="preserve"> The CoDa mathematicians will hear “compositional governance” and think formulas. The Ramsar ecologists will hear it and think wetlands. But what this framework describes is the reason the formulas exist and the reason the wetlands matter: human beings need to learn to govern their own complexity cooperatively, and the mathematics is the instrument that makes the cooperation measurable.</w:t>
      </w:r>
    </w:p>
    <w:p>
      <w:pPr>
        <w:pStyle w:val="Heading1"/>
      </w:pPr>
      <w:r>
        <w:t xml:space="preserve">VII. What I Am Asking</w:t>
      </w:r>
    </w:p>
    <w:p>
      <w:pPr>
        <w:spacing w:after="200"/>
      </w:pPr>
      <w:r>
        <w:t xml:space="preserve">I am not asking you to endorse this framework. I am asking you to examine it.</w:t>
      </w:r>
    </w:p>
    <w:p>
      <w:pPr>
        <w:spacing w:after="200"/>
      </w:pPr>
      <w:r>
        <w:rPr>
          <w:b/>
          <w:bCs/>
        </w:rPr>
        <w:t xml:space="preserve">First:</w:t>
      </w:r>
      <w:r>
        <w:t xml:space="preserve"> Does the coherence residual — a diagnostic that measures invisible structural reorganisation behind stable-looking surfaces — map onto your work on meaning hierarchies and the boundary between order and chaos? Is the society that looks stable while the coupling between groups degrades the same phenomenon you have been describing from the psychology side?</w:t>
      </w:r>
    </w:p>
    <w:p>
      <w:pPr>
        <w:spacing w:after="200"/>
      </w:pPr>
      <w:r>
        <w:rPr>
          <w:b/>
          <w:bCs/>
        </w:rPr>
        <w:t xml:space="preserve">Second:</w:t>
      </w:r>
      <w:r>
        <w:t xml:space="preserve"> The Compositional Governance Scale defines cooperation as a prerequisite for advancement. Each level requires deeper collaboration between more disciplines. Does this map onto your framework for individual and collective development? Is the staircase from CGS-1 to CGS-5 a governance version of the hierarchy of meaning?</w:t>
      </w:r>
    </w:p>
    <w:p>
      <w:pPr>
        <w:spacing w:after="200"/>
      </w:pPr>
      <w:r>
        <w:rPr>
          <w:b/>
          <w:bCs/>
        </w:rPr>
        <w:t xml:space="preserve">Third:</w:t>
      </w:r>
      <w:r>
        <w:t xml:space="preserve"> I am presenting at CoDaWork 2026 in Coimbra in June. The Ramsar Convention on Wetlands is the deployment target. Would you be willing to engage with this work — not as an endorsement, but as the philosophical bridge between the mathematics and the reason the mathematics matters?</w:t>
      </w:r>
    </w:p>
    <w:p>
      <w:pPr>
        <w:pStyle w:val="Heading1"/>
      </w:pPr>
      <w:r>
        <w:t xml:space="preserve">VIII. What Stands Behind This Letter</w:t>
      </w:r>
    </w:p>
    <w:p>
      <w:pPr>
        <w:spacing w:after="200"/>
      </w:pPr>
      <w:r>
        <w:t xml:space="preserve">This letter is the front door to a research corpus of over three hundred documents developed over six months of daily work with six AI systems — Claude, ChatGPT, Gemini, Copilot, Grok, and DeepSeek — each contributing from their architectural strengths under my direction. The corpus includes formal mathematical specifications, empirical results across two validated domains, a governance scale with five defined levels, a complete error catalogue of twenty-five documented failure modes, and a governance declaration that lists every known unknown, every doubt, and every thing that might be wrong.</w:t>
      </w:r>
    </w:p>
    <w:p>
      <w:pPr>
        <w:spacing w:after="200"/>
      </w:pPr>
      <w:r>
        <w:t xml:space="preserve">The working method itself is a governance mechanism. I do not instruct AI systems to confirm my hypotheses. I demand 51% pressure to break the idea, 49% to build it. The ideas that survive six different AI architectures attempting to destroy them are not proven. But they have earned the right to be examined by people qualified to judge.</w:t>
      </w:r>
    </w:p>
    <w:p>
      <w:pPr>
        <w:spacing w:after="200"/>
      </w:pPr>
      <w:r>
        <w:t xml:space="preserve">I am writing to a scholar of meaning, responsibility, and value structure because what I have found is not merely a monitoring instrument. It is a question about governed cooperation at every scale — from the coupling between two frequency bands in a loudspeaker to the coupling between ecology and economy at planetary scale. The coherence residual applies to all of it. Including the coupling between your discipline and mine.</w:t>
      </w:r>
    </w:p>
    <w:p>
      <w:pPr>
        <w:spacing w:after="200"/>
      </w:pPr>
      <w:r>
        <w:t xml:space="preserve">One month of discovery remains. One month of review. We have drawn the staircase and climbed two steps. The rest requires more people, more disciplines, more coupling. The loop stays open. The cost is real. And the reason to pay it is not science. It is humanity.</w:t>
      </w:r>
    </w:p>
    <w:p>
      <w:pPr>
        <w:spacing w:after="100" w:before="400"/>
      </w:pPr>
      <w:r>
        <w:t xml:space="preserve">With respect,</w:t>
      </w:r>
    </w:p>
    <w:p>
      <w:pPr>
        <w:spacing w:after="100"/>
      </w:pPr>
      <w:r>
        <w:rPr>
          <w:b/>
          <w:bCs/>
        </w:rPr>
        <w:t xml:space="preserve">Peter Higgins</w:t>
      </w:r>
    </w:p>
    <w:p>
      <w:pPr>
        <w:spacing w:after="100"/>
      </w:pPr>
      <w:r>
        <w:t xml:space="preserve">Rogue Wave Audio</w:t>
      </w:r>
    </w:p>
    <w:p>
      <w:pPr>
        <w:spacing w:after="100"/>
      </w:pPr>
      <w:r>
        <w:t xml:space="preserve">Markham, Ontario, Canada</w:t>
      </w:r>
    </w:p>
    <w:p>
      <w:pPr>
        <w:spacing w:after="200"/>
      </w:pPr>
      <w:r>
        <w:t xml:space="preserve">PeterHiggins@RogueWaveAudio.com</w:t>
      </w:r>
    </w:p>
    <w:p>
      <w:pPr>
        <w:spacing w:after="200"/>
      </w:pPr>
      <w:r>
        <w:rPr>
          <w:color w:val="666666"/>
          <w:sz w:val="20"/>
          <w:szCs w:val="20"/>
        </w:rPr>
        <w:t xml:space="preserve">Full corpus: </w:t>
      </w:r>
      <w:hyperlink w:history="1" r:id="rIddx4iwtt4uaohyuxjbnpln">
        <w:r>
          <w:rPr>
            <w:rStyle w:val="Hyperlink"/>
            <w:sz w:val="20"/>
            <w:szCs w:val="20"/>
          </w:rPr>
          <w:t xml:space="preserve">github.com/PeterHiggins19/Higgins-Unity-Framework</w:t>
        </w:r>
      </w:hyperlink>
      <w:r>
        <w:rPr>
          <w:color w:val="666666"/>
          <w:sz w:val="20"/>
          <w:szCs w:val="20"/>
        </w:rPr>
        <w:t xml:space="preserve"> — MIT License.</w:t>
      </w:r>
    </w:p>
    <w:p>
      <w:pPr>
        <w:spacing w:after="100"/>
      </w:pPr>
      <w:r>
        <w:rPr>
          <w:color w:val="666666"/>
          <w:sz w:val="20"/>
          <w:szCs w:val="20"/>
        </w:rPr>
        <w:t xml:space="preserve">Start with: COMPOSITIONAL_GOVERNANCE_SCALE.md (the staircase) or COHERENCE_RESIDUAL_RESULTS.md (the third diagnostic speaks)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1"/>
      </w:pBdr>
    </w:pPr>
    <w:r>
      <w:rPr>
        <w:rFonts w:ascii="Georgia" w:cs="Georgia" w:eastAsia="Georgia" w:hAnsi="Georgia"/>
        <w:color w:val="999999"/>
        <w:sz w:val="18"/>
        <w:szCs w:val="18"/>
      </w:rPr>
      <w:t xml:space="preserve">Letter to Dr. Jordan B. Peterson  |  v7.0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6"/>
      <w:szCs w:val="36"/>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x4iwtt4uaohyuxjbnpln" Type="http://schemas.openxmlformats.org/officeDocument/2006/relationships/hyperlink" Target="https://github.com/PeterHiggins19/Higgins-Unity-Framewor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2026-04-05T12:55:14.524Z</dcterms:created>
  <dcterms:modified xsi:type="dcterms:W3CDTF">2026-04-05T12:55:14.524Z</dcterms:modified>
</cp:coreProperties>
</file>

<file path=docProps/custom.xml><?xml version="1.0" encoding="utf-8"?>
<Properties xmlns="http://schemas.openxmlformats.org/officeDocument/2006/custom-properties" xmlns:vt="http://schemas.openxmlformats.org/officeDocument/2006/docPropsVTypes"/>
</file>