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0D5C5C"/>
          <w:sz w:val="52"/>
          <w:szCs w:val="52"/>
        </w:rPr>
        <w:t xml:space="preserve">PRISM</w:t>
      </w:r>
    </w:p>
    <w:p>
      <w:pPr>
        <w:spacing w:after="40"/>
        <w:jc w:val="center"/>
      </w:pPr>
      <w:r>
        <w:rPr>
          <w:rFonts w:ascii="Arial" w:cs="Arial" w:eastAsia="Arial" w:hAnsi="Arial"/>
          <w:color w:val="1E3A5F"/>
          <w:sz w:val="28"/>
          <w:szCs w:val="28"/>
        </w:rPr>
        <w:t xml:space="preserve">Post-Residual Investigation for System Maturation</w:t>
      </w:r>
    </w:p>
    <w:p>
      <w:pPr>
        <w:spacing w:after="40"/>
        <w:jc w:val="center"/>
      </w:pPr>
      <w:r>
        <w:rPr>
          <w:rFonts w:ascii="Arial" w:cs="Arial" w:eastAsia="Arial" w:hAnsi="Arial"/>
          <w:color w:val="333333"/>
          <w:sz w:val="24"/>
          <w:szCs w:val="24"/>
        </w:rPr>
        <w:t xml:space="preserve">A Method for Converting EITT Diagnostic Residuals</w:t>
      </w:r>
    </w:p>
    <w:p>
      <w:pPr>
        <w:spacing w:after="40"/>
        <w:jc w:val="center"/>
      </w:pPr>
      <w:r>
        <w:rPr>
          <w:rFonts w:ascii="Arial" w:cs="Arial" w:eastAsia="Arial" w:hAnsi="Arial"/>
          <w:color w:val="333333"/>
          <w:sz w:val="24"/>
          <w:szCs w:val="24"/>
        </w:rPr>
        <w:t xml:space="preserve">into Prioritised Resource Allocation Targets</w:t>
      </w:r>
    </w:p>
    <w:p>
      <w:pPr>
        <w:spacing w:after="200"/>
        <w:jc w:val="center"/>
      </w:pPr>
      <w:r>
        <w:rPr>
          <w:rFonts w:ascii="Arial" w:cs="Arial" w:eastAsia="Arial" w:hAnsi="Arial"/>
          <w:color w:val="333333"/>
          <w:sz w:val="22"/>
          <w:szCs w:val="22"/>
        </w:rPr>
        <w:t xml:space="preserve">Peter Higgins  |  Rogue Wave Audio  |  April 2026</w:t>
      </w:r>
    </w:p>
    <w:p>
      <w:pPr>
        <w:pBdr>
          <w:bottom w:val="single" w:color="0D5C5C" w:sz="6" w:space="1"/>
        </w:pBdr>
        <w:spacing w:after="300"/>
      </w:pPr>
    </w:p>
    <w:p>
      <w:pPr>
        <w:pStyle w:val="Heading1"/>
        <w:spacing w:after="200" w:before="360"/>
      </w:pPr>
      <w:r>
        <w:rPr>
          <w:rFonts w:ascii="Arial" w:cs="Arial" w:eastAsia="Arial" w:hAnsi="Arial"/>
          <w:b/>
          <w:bCs/>
          <w:color w:val="1E3A5F"/>
          <w:sz w:val="32"/>
          <w:szCs w:val="32"/>
        </w:rPr>
        <w:t xml:space="preserve">1. What PRISM Does</w:t>
      </w:r>
    </w:p>
    <w:p>
      <w:pPr>
        <w:spacing w:after="160" w:line="276"/>
        <w:jc w:val="both"/>
      </w:pPr>
      <w:r>
        <w:rPr>
          <w:rFonts w:ascii="Arial" w:cs="Arial" w:eastAsia="Arial" w:hAnsi="Arial"/>
          <w:b w:val="false"/>
          <w:bCs w:val="false"/>
          <w:i w:val="false"/>
          <w:iCs w:val="false"/>
          <w:color w:val="333333"/>
          <w:sz w:val="22"/>
          <w:szCs w:val="22"/>
        </w:rPr>
        <w:t xml:space="preserve">A diagnostic tells you what is wrong. A good diagnostic tells you where to look next. PRISM is the method for reading an EITT residual and converting it into a ranked list of resource allocation targets — specific areas where investment in analytical infrastructure, measurement methodology, or theoretical development will produce the highest return per unit of effort.</w:t>
      </w:r>
    </w:p>
    <w:p>
      <w:pPr>
        <w:spacing w:after="160" w:line="276"/>
        <w:jc w:val="both"/>
      </w:pPr>
      <w:r>
        <w:rPr>
          <w:rFonts w:ascii="Arial" w:cs="Arial" w:eastAsia="Arial" w:hAnsi="Arial"/>
          <w:b w:val="false"/>
          <w:bCs w:val="false"/>
          <w:i w:val="false"/>
          <w:iCs w:val="false"/>
          <w:color w:val="333333"/>
          <w:sz w:val="22"/>
          <w:szCs w:val="22"/>
        </w:rPr>
        <w:t xml:space="preserve">The method is simple. Run EITT on a domain. Collect the residuals across all four diagnostic lenses (Shannon, Jensen-corrected, Rényi, Aitchison). Rank the failure modes from worst to best. For each failure, identify the mechanism, the affected subsystem, and the correction that closes the gap. The gap that remains after the best available correction is applied is the true frontier — the point where new science is needed, not better instrumentation.</w:t>
      </w:r>
    </w:p>
    <w:p>
      <w:pPr>
        <w:spacing w:after="160" w:line="276"/>
        <w:jc w:val="both"/>
      </w:pPr>
      <w:r>
        <w:rPr>
          <w:rFonts w:ascii="Arial" w:cs="Arial" w:eastAsia="Arial" w:hAnsi="Arial"/>
          <w:b w:val="false"/>
          <w:bCs w:val="false"/>
          <w:i w:val="false"/>
          <w:iCs w:val="false"/>
          <w:color w:val="333333"/>
          <w:sz w:val="22"/>
          <w:szCs w:val="22"/>
        </w:rPr>
        <w:t xml:space="preserve">PRISM does not tell operators what to build. It tells them where building will matter most.</w:t>
      </w:r>
    </w:p>
    <w:p>
      <w:pPr>
        <w:pStyle w:val="Heading1"/>
        <w:spacing w:after="200" w:before="360"/>
      </w:pPr>
      <w:r>
        <w:rPr>
          <w:rFonts w:ascii="Arial" w:cs="Arial" w:eastAsia="Arial" w:hAnsi="Arial"/>
          <w:b/>
          <w:bCs/>
          <w:color w:val="1E3A5F"/>
          <w:sz w:val="32"/>
          <w:szCs w:val="32"/>
        </w:rPr>
        <w:t xml:space="preserve">2. The Chemistry PRISM: Applied to 500,000 Data Points</w:t>
      </w:r>
    </w:p>
    <w:p>
      <w:pPr>
        <w:spacing w:after="160" w:line="276"/>
        <w:jc w:val="both"/>
      </w:pPr>
      <w:r>
        <w:rPr>
          <w:rFonts w:ascii="Arial" w:cs="Arial" w:eastAsia="Arial" w:hAnsi="Arial"/>
          <w:b w:val="false"/>
          <w:bCs w:val="false"/>
          <w:i w:val="false"/>
          <w:iCs w:val="false"/>
          <w:color w:val="333333"/>
          <w:sz w:val="22"/>
          <w:szCs w:val="22"/>
        </w:rPr>
        <w:t xml:space="preserve">The global chemical industry generates approximately $5.7 trillion in annual revenue. It employs process monitoring, quality assurance, and compositional analysis at every stage from raw materials to finished product. The entropy-based methods used in these processes — Shannon diversity indices for mixture characterisation, information-theoretic quality metrics, maximum likelihood estimation on compositional data — have never been subjected to a systematic diagnostic of the kind EITT provides.</w:t>
      </w:r>
    </w:p>
    <w:p>
      <w:pPr>
        <w:spacing w:after="160" w:line="276"/>
        <w:jc w:val="both"/>
      </w:pPr>
      <w:r>
        <w:rPr>
          <w:rFonts w:ascii="Arial" w:cs="Arial" w:eastAsia="Arial" w:hAnsi="Arial"/>
          <w:b w:val="false"/>
          <w:bCs w:val="false"/>
          <w:i w:val="false"/>
          <w:iCs w:val="false"/>
          <w:color w:val="333333"/>
          <w:sz w:val="22"/>
          <w:szCs w:val="22"/>
        </w:rPr>
        <w:t xml:space="preserve">The chemistry PRISM analysis below is derived from EITT testing on CheMixHub benchmark data: seven datasets, approximately 500,000 data points, compositions ranging from binary ionic liquids to six-component pharmaceutical formulations. Every failure mode identified in this analysis maps to a specific gap in current chemical analytical practice. Every gap maps to a resource allocation target.</w:t>
      </w:r>
    </w:p>
    <w:p>
      <w:pPr>
        <w:pStyle w:val="Heading1"/>
        <w:spacing w:after="200" w:before="360"/>
      </w:pPr>
      <w:r>
        <w:rPr>
          <w:rFonts w:ascii="Arial" w:cs="Arial" w:eastAsia="Arial" w:hAnsi="Arial"/>
          <w:b/>
          <w:bCs/>
          <w:color w:val="1E3A5F"/>
          <w:sz w:val="32"/>
          <w:szCs w:val="32"/>
        </w:rPr>
        <w:t xml:space="preserve">3. PRISM Allocation Targets: Ranked by Return</w:t>
      </w:r>
    </w:p>
    <w:p>
      <w:pPr>
        <w:spacing w:after="160" w:line="276"/>
        <w:jc w:val="both"/>
      </w:pPr>
      <w:r>
        <w:rPr>
          <w:rFonts w:ascii="Arial" w:cs="Arial" w:eastAsia="Arial" w:hAnsi="Arial"/>
          <w:b w:val="false"/>
          <w:bCs w:val="false"/>
          <w:i w:val="false"/>
          <w:iCs w:val="false"/>
          <w:color w:val="333333"/>
          <w:sz w:val="22"/>
          <w:szCs w:val="22"/>
        </w:rPr>
        <w:t xml:space="preserve">Targets are ranked from highest expected return on investment to lowest. Return is estimated from: (a) size of the affected industry segment, (b) magnitude of the residual closed by the correction, and (c) availability of the correction for immediate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2000"/>
        <w:gridCol w:w="2560"/>
        <w:gridCol w:w="2500"/>
      </w:tblGrid>
      <w:tr>
        <w:tc>
          <w:tcPr>
            <w:tcW w:type="dxa" w:w="600"/>
            <w:tcBorders>
              <w:top w:val="single" w:color="CCCCCC" w:sz="1"/>
              <w:left w:val="single" w:color="CCCCCC" w:sz="1"/>
              <w:bottom w:val="single" w:color="CCCCCC" w:sz="1"/>
              <w:right w:val="single" w:color="CCCCCC" w:sz="1"/>
            </w:tcBorders>
            <w:shd w:fill="1A5C1A" w:val="clear"/>
            <w:tcMar>
              <w:top w:type="dxa" w:w="80"/>
              <w:left w:type="dxa" w:w="120"/>
              <w:bottom w:type="dxa" w:w="80"/>
              <w:right w:type="dxa" w:w="120"/>
            </w:tcMar>
          </w:tcPr>
          <w:p>
            <w:r>
              <w:rPr>
                <w:rFonts w:ascii="Arial" w:cs="Arial" w:eastAsia="Arial" w:hAnsi="Arial"/>
                <w:b/>
                <w:bCs/>
                <w:color w:val="FFFFFF"/>
                <w:sz w:val="20"/>
                <w:szCs w:val="20"/>
              </w:rPr>
              <w:t xml:space="preserve">Rank</w:t>
            </w:r>
          </w:p>
        </w:tc>
        <w:tc>
          <w:tcPr>
            <w:tcW w:type="dxa" w:w="1700"/>
            <w:tcBorders>
              <w:top w:val="single" w:color="CCCCCC" w:sz="1"/>
              <w:left w:val="single" w:color="CCCCCC" w:sz="1"/>
              <w:bottom w:val="single" w:color="CCCCCC" w:sz="1"/>
              <w:right w:val="single" w:color="CCCCCC" w:sz="1"/>
            </w:tcBorders>
            <w:shd w:fill="1A5C1A" w:val="clear"/>
            <w:tcMar>
              <w:top w:type="dxa" w:w="80"/>
              <w:left w:type="dxa" w:w="120"/>
              <w:bottom w:type="dxa" w:w="80"/>
              <w:right w:type="dxa" w:w="120"/>
            </w:tcMar>
          </w:tcPr>
          <w:p>
            <w:r>
              <w:rPr>
                <w:rFonts w:ascii="Arial" w:cs="Arial" w:eastAsia="Arial" w:hAnsi="Arial"/>
                <w:b/>
                <w:bCs/>
                <w:color w:val="FFFFFF"/>
                <w:sz w:val="20"/>
                <w:szCs w:val="20"/>
              </w:rPr>
              <w:t xml:space="preserve">Target Area</w:t>
            </w:r>
          </w:p>
        </w:tc>
        <w:tc>
          <w:tcPr>
            <w:tcW w:type="dxa" w:w="2000"/>
            <w:tcBorders>
              <w:top w:val="single" w:color="CCCCCC" w:sz="1"/>
              <w:left w:val="single" w:color="CCCCCC" w:sz="1"/>
              <w:bottom w:val="single" w:color="CCCCCC" w:sz="1"/>
              <w:right w:val="single" w:color="CCCCCC" w:sz="1"/>
            </w:tcBorders>
            <w:shd w:fill="1A5C1A" w:val="clear"/>
            <w:tcMar>
              <w:top w:type="dxa" w:w="80"/>
              <w:left w:type="dxa" w:w="120"/>
              <w:bottom w:type="dxa" w:w="80"/>
              <w:right w:type="dxa" w:w="120"/>
            </w:tcMar>
          </w:tcPr>
          <w:p>
            <w:r>
              <w:rPr>
                <w:rFonts w:ascii="Arial" w:cs="Arial" w:eastAsia="Arial" w:hAnsi="Arial"/>
                <w:b/>
                <w:bCs/>
                <w:color w:val="FFFFFF"/>
                <w:sz w:val="20"/>
                <w:szCs w:val="20"/>
              </w:rPr>
              <w:t xml:space="preserve">Failure Source</w:t>
            </w:r>
          </w:p>
        </w:tc>
        <w:tc>
          <w:tcPr>
            <w:tcW w:type="dxa" w:w="2560"/>
            <w:tcBorders>
              <w:top w:val="single" w:color="CCCCCC" w:sz="1"/>
              <w:left w:val="single" w:color="CCCCCC" w:sz="1"/>
              <w:bottom w:val="single" w:color="CCCCCC" w:sz="1"/>
              <w:right w:val="single" w:color="CCCCCC" w:sz="1"/>
            </w:tcBorders>
            <w:shd w:fill="1A5C1A"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c>
          <w:tcPr>
            <w:tcW w:type="dxa" w:w="2500"/>
            <w:tcBorders>
              <w:top w:val="single" w:color="CCCCCC" w:sz="1"/>
              <w:left w:val="single" w:color="CCCCCC" w:sz="1"/>
              <w:bottom w:val="single" w:color="CCCCCC" w:sz="1"/>
              <w:right w:val="single" w:color="CCCCCC" w:sz="1"/>
            </w:tcBorders>
            <w:shd w:fill="1A5C1A" w:val="clear"/>
            <w:tcMar>
              <w:top w:type="dxa" w:w="80"/>
              <w:left w:type="dxa" w:w="120"/>
              <w:bottom w:type="dxa" w:w="80"/>
              <w:right w:type="dxa" w:w="120"/>
            </w:tcMar>
          </w:tcPr>
          <w:p>
            <w:r>
              <w:rPr>
                <w:rFonts w:ascii="Arial" w:cs="Arial" w:eastAsia="Arial" w:hAnsi="Arial"/>
                <w:b/>
                <w:bCs/>
                <w:color w:val="FFFFFF"/>
                <w:sz w:val="20"/>
                <w:szCs w:val="20"/>
              </w:rPr>
              <w:t xml:space="preserve">Expected Return</w:t>
            </w:r>
          </w:p>
        </w:tc>
      </w:tr>
      <w:tr>
        <w:tc>
          <w:tcPr>
            <w:tcW w:type="dxa" w:w="60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bCs/>
                <w:color w:val="333333"/>
                <w:sz w:val="20"/>
                <w:szCs w:val="20"/>
              </w:rPr>
              <w:t xml:space="preserve">1</w:t>
            </w:r>
          </w:p>
        </w:tc>
        <w:tc>
          <w:tcPr>
            <w:tcW w:type="dxa" w:w="170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Boundary Process Monitoring</w:t>
            </w:r>
          </w:p>
        </w:tc>
        <w:tc>
          <w:tcPr>
            <w:tcW w:type="dxa" w:w="200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Shannon divergence at min(xᵢ) &lt; 0.05.</w:t>
            </w:r>
          </w:p>
          <w:p>
            <w:pPr>
              <w:spacing w:after="40"/>
            </w:pPr>
            <w:r>
              <w:rPr>
                <w:rFonts w:ascii="Arial" w:cs="Arial" w:eastAsia="Arial" w:hAnsi="Arial"/>
                <w:b w:val="false"/>
                <w:bCs w:val="false"/>
                <w:i w:val="false"/>
                <w:iCs w:val="false"/>
                <w:color w:val="333333"/>
                <w:sz w:val="20"/>
                <w:szCs w:val="20"/>
              </w:rPr>
              <w:t xml:space="preserve">Residual: 12–16% (raw) → 2.5% (Aitchison).</w:t>
            </w:r>
          </w:p>
        </w:tc>
        <w:tc>
          <w:tcPr>
            <w:tcW w:type="dxa" w:w="256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Replace Shannon-based QA metrics with Aitchison distance for any process where a component falls below 5%.</w:t>
            </w:r>
          </w:p>
          <w:p>
            <w:pPr>
              <w:spacing w:after="40"/>
            </w:pPr>
            <w:r>
              <w:rPr>
                <w:rFonts w:ascii="Arial" w:cs="Arial" w:eastAsia="Arial" w:hAnsi="Arial"/>
                <w:b w:val="false"/>
                <w:bCs w:val="false"/>
                <w:i w:val="false"/>
                <w:iCs w:val="false"/>
                <w:color w:val="333333"/>
                <w:sz w:val="20"/>
                <w:szCs w:val="20"/>
              </w:rPr>
              <w:t xml:space="preserve">Correction exists. Deployable now.</w:t>
            </w:r>
          </w:p>
        </w:tc>
        <w:tc>
          <w:tcPr>
            <w:tcW w:type="dxa" w:w="250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bCs/>
                <w:i w:val="false"/>
                <w:iCs w:val="false"/>
                <w:color w:val="1A5C1A"/>
                <w:sz w:val="20"/>
                <w:szCs w:val="20"/>
              </w:rPr>
              <w:t xml:space="preserve">Immediate.</w:t>
            </w:r>
          </w:p>
          <w:p>
            <w:pPr>
              <w:spacing w:after="40"/>
            </w:pPr>
            <w:r>
              <w:rPr>
                <w:rFonts w:ascii="Arial" w:cs="Arial" w:eastAsia="Arial" w:hAnsi="Arial"/>
                <w:b w:val="false"/>
                <w:bCs w:val="false"/>
                <w:i w:val="false"/>
                <w:iCs w:val="false"/>
                <w:color w:val="333333"/>
                <w:sz w:val="20"/>
                <w:szCs w:val="20"/>
              </w:rPr>
              <w:t xml:space="preserve">Trace analysis, purity testing, pharmaceutical QC. Affects every analytical lab monitoring dilute mixtures.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color w:val="333333"/>
                <w:sz w:val="20"/>
                <w:szCs w:val="20"/>
              </w:rPr>
              <w:t xml:space="preserve">2</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Adaptive Metric Selection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Interior/boundary duality.</w:t>
            </w:r>
          </w:p>
          <w:p>
            <w:pPr>
              <w:spacing w:after="40"/>
            </w:pPr>
            <w:r>
              <w:rPr>
                <w:rFonts w:ascii="Arial" w:cs="Arial" w:eastAsia="Arial" w:hAnsi="Arial"/>
                <w:b w:val="false"/>
                <w:bCs w:val="false"/>
                <w:i w:val="false"/>
                <w:iCs w:val="false"/>
                <w:color w:val="333333"/>
                <w:sz w:val="20"/>
                <w:szCs w:val="20"/>
              </w:rPr>
              <w:t xml:space="preserve">Shannon optimal interior (82%), Aitchison optimal boundary (58%). No single metric covers both.</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Implement dual-lens monitoring: Shannon for well-mixed compositions, Aitchison for boundary. Crossover at min(xᵢ) ≈ 0.05.</w:t>
            </w:r>
          </w:p>
          <w:p>
            <w:pPr>
              <w:spacing w:after="40"/>
            </w:pPr>
            <w:r>
              <w:rPr>
                <w:rFonts w:ascii="Arial" w:cs="Arial" w:eastAsia="Arial" w:hAnsi="Arial"/>
                <w:b w:val="false"/>
                <w:bCs w:val="false"/>
                <w:i w:val="false"/>
                <w:iCs w:val="false"/>
                <w:color w:val="333333"/>
                <w:sz w:val="20"/>
                <w:szCs w:val="20"/>
              </w:rPr>
              <w:t xml:space="preserve">Requires software update only.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1A5C1A"/>
                <w:sz w:val="20"/>
                <w:szCs w:val="20"/>
              </w:rPr>
              <w:t xml:space="preserve">High.</w:t>
            </w:r>
          </w:p>
          <w:p>
            <w:pPr>
              <w:spacing w:after="40"/>
            </w:pPr>
            <w:r>
              <w:rPr>
                <w:rFonts w:ascii="Arial" w:cs="Arial" w:eastAsia="Arial" w:hAnsi="Arial"/>
                <w:b w:val="false"/>
                <w:bCs w:val="false"/>
                <w:i w:val="false"/>
                <w:iCs w:val="false"/>
                <w:color w:val="333333"/>
                <w:sz w:val="20"/>
                <w:szCs w:val="20"/>
              </w:rPr>
              <w:t xml:space="preserve">Eliminates the single largest source of false alarms in compositional process control.</w:t>
            </w:r>
          </w:p>
        </w:tc>
      </w:tr>
      <w:tr>
        <w:tc>
          <w:tcPr>
            <w:tcW w:type="dxa" w:w="60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bCs/>
                <w:color w:val="333333"/>
                <w:sz w:val="20"/>
                <w:szCs w:val="20"/>
              </w:rPr>
              <w:t xml:space="preserve">3</w:t>
            </w:r>
          </w:p>
        </w:tc>
        <w:tc>
          <w:tcPr>
            <w:tcW w:type="dxa" w:w="170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High-D Formulation Analytics</w:t>
            </w:r>
          </w:p>
        </w:tc>
        <w:tc>
          <w:tcPr>
            <w:tcW w:type="dxa" w:w="200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D ≥ 6 formulations fail all lenses.</w:t>
            </w:r>
          </w:p>
          <w:p>
            <w:pPr>
              <w:spacing w:after="40"/>
            </w:pPr>
            <w:r>
              <w:rPr>
                <w:rFonts w:ascii="Arial" w:cs="Arial" w:eastAsia="Arial" w:hAnsi="Arial"/>
                <w:b w:val="false"/>
                <w:bCs w:val="false"/>
                <w:i w:val="false"/>
                <w:iCs w:val="false"/>
                <w:color w:val="333333"/>
                <w:sz w:val="20"/>
                <w:szCs w:val="20"/>
              </w:rPr>
              <w:t xml:space="preserve">Probability of boundary contact rises exponentially with component count.</w:t>
            </w:r>
          </w:p>
        </w:tc>
        <w:tc>
          <w:tcPr>
            <w:tcW w:type="dxa" w:w="256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Develop dimensionality-aware entropy diagnostics for multi-component formulations (pharma, specialty chemicals, advanced materials).</w:t>
            </w:r>
          </w:p>
          <w:p>
            <w:pPr>
              <w:spacing w:after="40"/>
            </w:pPr>
            <w:r>
              <w:rPr>
                <w:rFonts w:ascii="Arial" w:cs="Arial" w:eastAsia="Arial" w:hAnsi="Arial"/>
                <w:b w:val="false"/>
                <w:bCs w:val="false"/>
                <w:i w:val="false"/>
                <w:iCs w:val="false"/>
                <w:color w:val="333333"/>
                <w:sz w:val="20"/>
                <w:szCs w:val="20"/>
              </w:rPr>
              <w:t xml:space="preserve">Requires new methodology.</w:t>
            </w:r>
          </w:p>
        </w:tc>
        <w:tc>
          <w:tcPr>
            <w:tcW w:type="dxa" w:w="250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bCs/>
                <w:i w:val="false"/>
                <w:iCs w:val="false"/>
                <w:color w:val="1A5C1A"/>
                <w:sz w:val="20"/>
                <w:szCs w:val="20"/>
              </w:rPr>
              <w:t xml:space="preserve">High.</w:t>
            </w:r>
          </w:p>
          <w:p>
            <w:pPr>
              <w:spacing w:after="40"/>
            </w:pPr>
            <w:r>
              <w:rPr>
                <w:rFonts w:ascii="Arial" w:cs="Arial" w:eastAsia="Arial" w:hAnsi="Arial"/>
                <w:b w:val="false"/>
                <w:bCs w:val="false"/>
                <w:i w:val="false"/>
                <w:iCs w:val="false"/>
                <w:color w:val="333333"/>
                <w:sz w:val="20"/>
                <w:szCs w:val="20"/>
              </w:rPr>
              <w:t xml:space="preserve">Pharma alone: $1.5T market. FDA PAT guidelines increasingly require real-time compositional monitoring.</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color w:val="333333"/>
                <w:sz w:val="20"/>
                <w:szCs w:val="20"/>
              </w:rPr>
              <w:t xml:space="preserve">4</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Jensen Damping Coefficient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Taylor expansion divergence.</w:t>
            </w:r>
          </w:p>
          <w:p>
            <w:pPr>
              <w:spacing w:after="40"/>
            </w:pPr>
            <w:r>
              <w:rPr>
                <w:rFonts w:ascii="Arial" w:cs="Arial" w:eastAsia="Arial" w:hAnsi="Arial"/>
                <w:b w:val="false"/>
                <w:bCs w:val="false"/>
                <w:i w:val="false"/>
                <w:iCs w:val="false"/>
                <w:color w:val="333333"/>
                <w:sz w:val="20"/>
                <w:szCs w:val="20"/>
              </w:rPr>
              <w:t xml:space="preserve">476% overcorrection at ionic-liquid boundary. Local approximation applied to global traversal.</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Derive a damping coefficient proportional to composition range that keeps the Jensen correction within its radius of validity.</w:t>
            </w:r>
          </w:p>
          <w:p>
            <w:pPr>
              <w:spacing w:after="40"/>
            </w:pPr>
            <w:r>
              <w:rPr>
                <w:rFonts w:ascii="Arial" w:cs="Arial" w:eastAsia="Arial" w:hAnsi="Arial"/>
                <w:b w:val="false"/>
                <w:bCs w:val="false"/>
                <w:i w:val="false"/>
                <w:iCs w:val="false"/>
                <w:color w:val="333333"/>
                <w:sz w:val="20"/>
                <w:szCs w:val="20"/>
              </w:rPr>
              <w:t xml:space="preserve">Requires mathematical research.</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8B6914"/>
                <w:sz w:val="20"/>
                <w:szCs w:val="20"/>
              </w:rPr>
              <w:t xml:space="preserve">Medium-High.</w:t>
            </w:r>
          </w:p>
          <w:p>
            <w:pPr>
              <w:spacing w:after="40"/>
            </w:pPr>
            <w:r>
              <w:rPr>
                <w:rFonts w:ascii="Arial" w:cs="Arial" w:eastAsia="Arial" w:hAnsi="Arial"/>
                <w:b w:val="false"/>
                <w:bCs w:val="false"/>
                <w:i w:val="false"/>
                <w:iCs w:val="false"/>
                <w:color w:val="333333"/>
                <w:sz w:val="20"/>
                <w:szCs w:val="20"/>
              </w:rPr>
              <w:t xml:space="preserve">Would rehabilitate Hessian-based bias corrections for use on real mixture data. Currently unusable beyond narrow neighbourhoods.</w:t>
            </w:r>
          </w:p>
        </w:tc>
      </w:tr>
      <w:tr>
        <w:tc>
          <w:tcPr>
            <w:tcW w:type="dxa" w:w="60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bCs/>
                <w:color w:val="333333"/>
                <w:sz w:val="20"/>
                <w:szCs w:val="20"/>
              </w:rPr>
              <w:t xml:space="preserve">5</w:t>
            </w:r>
          </w:p>
        </w:tc>
        <w:tc>
          <w:tcPr>
            <w:tcW w:type="dxa" w:w="170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Temporal Integration for Composition Data</w:t>
            </w:r>
          </w:p>
        </w:tc>
        <w:tc>
          <w:tcPr>
            <w:tcW w:type="dxa" w:w="200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Absent autocorrelation.</w:t>
            </w:r>
          </w:p>
          <w:p>
            <w:pPr>
              <w:spacing w:after="40"/>
            </w:pPr>
            <w:r>
              <w:rPr>
                <w:rFonts w:ascii="Arial" w:cs="Arial" w:eastAsia="Arial" w:hAnsi="Arial"/>
                <w:b w:val="false"/>
                <w:bCs w:val="false"/>
                <w:i w:val="false"/>
                <w:iCs w:val="false"/>
                <w:color w:val="333333"/>
                <w:sz w:val="20"/>
                <w:szCs w:val="20"/>
              </w:rPr>
              <w:t xml:space="preserve">Composition sweeps lack temporal ordering. ~50% of EITT invariance comes from dynamics, absent here.</w:t>
            </w:r>
          </w:p>
        </w:tc>
        <w:tc>
          <w:tcPr>
            <w:tcW w:type="dxa" w:w="256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Collect time-resolved compositional data (reaction kinetics, in-situ monitoring, flow chemistry). Re-run EITT with genuine temporal ordering.</w:t>
            </w:r>
          </w:p>
          <w:p>
            <w:pPr>
              <w:spacing w:after="40"/>
            </w:pPr>
            <w:r>
              <w:rPr>
                <w:rFonts w:ascii="Arial" w:cs="Arial" w:eastAsia="Arial" w:hAnsi="Arial"/>
                <w:b w:val="false"/>
                <w:bCs w:val="false"/>
                <w:i w:val="false"/>
                <w:iCs w:val="false"/>
                <w:color w:val="333333"/>
                <w:sz w:val="20"/>
                <w:szCs w:val="20"/>
              </w:rPr>
              <w:t xml:space="preserve">Requires experimental data collection.</w:t>
            </w:r>
          </w:p>
        </w:tc>
        <w:tc>
          <w:tcPr>
            <w:tcW w:type="dxa" w:w="250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bCs/>
                <w:i w:val="false"/>
                <w:iCs w:val="false"/>
                <w:color w:val="8B6914"/>
                <w:sz w:val="20"/>
                <w:szCs w:val="20"/>
              </w:rPr>
              <w:t xml:space="preserve">Medium.</w:t>
            </w:r>
          </w:p>
          <w:p>
            <w:pPr>
              <w:spacing w:after="40"/>
            </w:pPr>
            <w:r>
              <w:rPr>
                <w:rFonts w:ascii="Arial" w:cs="Arial" w:eastAsia="Arial" w:hAnsi="Arial"/>
                <w:b w:val="false"/>
                <w:bCs w:val="false"/>
                <w:i w:val="false"/>
                <w:iCs w:val="false"/>
                <w:color w:val="333333"/>
                <w:sz w:val="20"/>
                <w:szCs w:val="20"/>
              </w:rPr>
              <w:t xml:space="preserve">Would close the geometry-dynamics decomposition gap. Expected to recover pass rates near 80–90%.</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color w:val="333333"/>
                <w:sz w:val="20"/>
                <w:szCs w:val="20"/>
              </w:rPr>
              <w:t xml:space="preserve">6</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Entropy Order Selection Protocol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Rényi q=2 wrong curvature.</w:t>
            </w:r>
          </w:p>
          <w:p>
            <w:pPr>
              <w:spacing w:after="40"/>
            </w:pPr>
            <w:r>
              <w:rPr>
                <w:rFonts w:ascii="Arial" w:cs="Arial" w:eastAsia="Arial" w:hAnsi="Arial"/>
                <w:b w:val="false"/>
                <w:bCs w:val="false"/>
                <w:i w:val="false"/>
                <w:iCs w:val="false"/>
                <w:color w:val="333333"/>
                <w:sz w:val="20"/>
                <w:szCs w:val="20"/>
              </w:rPr>
              <w:t xml:space="preserve">Collision entropy degrades interior performance while barely improving boundary.</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Establish a q-selection protocol: q=1 (Shannon) for broad surveys, q&gt;1 for narrow monitoring, q&lt;1 for boundary-sensitive applications.</w:t>
            </w:r>
          </w:p>
          <w:p>
            <w:pPr>
              <w:spacing w:after="40"/>
            </w:pPr>
            <w:r>
              <w:rPr>
                <w:rFonts w:ascii="Arial" w:cs="Arial" w:eastAsia="Arial" w:hAnsi="Arial"/>
                <w:b w:val="false"/>
                <w:bCs w:val="false"/>
                <w:i w:val="false"/>
                <w:iCs w:val="false"/>
                <w:color w:val="333333"/>
                <w:sz w:val="20"/>
                <w:szCs w:val="20"/>
              </w:rPr>
              <w:t xml:space="preserve">Requires systematic testing across q values.</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i w:val="false"/>
                <w:iCs w:val="false"/>
                <w:color w:val="8B6914"/>
                <w:sz w:val="20"/>
                <w:szCs w:val="20"/>
              </w:rPr>
              <w:t xml:space="preserve">Medium.</w:t>
            </w:r>
          </w:p>
          <w:p>
            <w:pPr>
              <w:spacing w:after="40"/>
            </w:pPr>
            <w:r>
              <w:rPr>
                <w:rFonts w:ascii="Arial" w:cs="Arial" w:eastAsia="Arial" w:hAnsi="Arial"/>
                <w:b w:val="false"/>
                <w:bCs w:val="false"/>
                <w:i w:val="false"/>
                <w:iCs w:val="false"/>
                <w:color w:val="333333"/>
                <w:sz w:val="20"/>
                <w:szCs w:val="20"/>
              </w:rPr>
              <w:t xml:space="preserve">Provides principled guidance to the thousands of labs using entropy-based diversity and quality indices without knowing which order to use.</w:t>
            </w:r>
          </w:p>
        </w:tc>
      </w:tr>
      <w:tr>
        <w:tc>
          <w:tcPr>
            <w:tcW w:type="dxa" w:w="60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bCs/>
                <w:color w:val="333333"/>
                <w:sz w:val="20"/>
                <w:szCs w:val="20"/>
              </w:rPr>
              <w:t xml:space="preserve">7</w:t>
            </w:r>
          </w:p>
        </w:tc>
        <w:tc>
          <w:tcPr>
            <w:tcW w:type="dxa" w:w="170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Boundary Threshold Formalisation</w:t>
            </w:r>
          </w:p>
        </w:tc>
        <w:tc>
          <w:tcPr>
            <w:tcW w:type="dxa" w:w="200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val="false"/>
                <w:bCs w:val="false"/>
                <w:i/>
                <w:iCs/>
                <w:color w:val="333333"/>
                <w:sz w:val="20"/>
                <w:szCs w:val="20"/>
              </w:rPr>
              <w:t xml:space="preserve">Empirical crossover at 0.05.</w:t>
            </w:r>
          </w:p>
          <w:p>
            <w:pPr>
              <w:spacing w:after="40"/>
            </w:pPr>
            <w:r>
              <w:rPr>
                <w:rFonts w:ascii="Arial" w:cs="Arial" w:eastAsia="Arial" w:hAnsi="Arial"/>
                <w:b w:val="false"/>
                <w:bCs w:val="false"/>
                <w:i w:val="false"/>
                <w:iCs w:val="false"/>
                <w:color w:val="333333"/>
                <w:sz w:val="20"/>
                <w:szCs w:val="20"/>
              </w:rPr>
              <w:t xml:space="preserve">The 5% boundary was chosen by data. No theoretical derivation exists.</w:t>
            </w:r>
          </w:p>
        </w:tc>
        <w:tc>
          <w:tcPr>
            <w:tcW w:type="dxa" w:w="256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bCs/>
                <w:i w:val="false"/>
                <w:iCs w:val="false"/>
                <w:color w:val="333333"/>
                <w:sz w:val="20"/>
                <w:szCs w:val="20"/>
              </w:rPr>
              <w:t xml:space="preserve">Derive the optimal crossover point from the curvature profile of H(x) on the D-simplex as a function of D.</w:t>
            </w:r>
          </w:p>
          <w:p>
            <w:pPr>
              <w:spacing w:after="40"/>
            </w:pPr>
            <w:r>
              <w:rPr>
                <w:rFonts w:ascii="Arial" w:cs="Arial" w:eastAsia="Arial" w:hAnsi="Arial"/>
                <w:b w:val="false"/>
                <w:bCs w:val="false"/>
                <w:i w:val="false"/>
                <w:iCs w:val="false"/>
                <w:color w:val="333333"/>
                <w:sz w:val="20"/>
                <w:szCs w:val="20"/>
              </w:rPr>
              <w:t xml:space="preserve">Requires mathematical analysis.</w:t>
            </w:r>
          </w:p>
        </w:tc>
        <w:tc>
          <w:tcPr>
            <w:tcW w:type="dxa" w:w="2500"/>
            <w:tcBorders>
              <w:top w:val="single" w:color="CCCCCC" w:sz="1"/>
              <w:left w:val="single" w:color="CCCCCC" w:sz="1"/>
              <w:bottom w:val="single" w:color="CCCCCC" w:sz="1"/>
              <w:right w:val="single" w:color="CCCCCC" w:sz="1"/>
            </w:tcBorders>
            <w:shd w:fill="E8F5E8" w:val="clear"/>
            <w:tcMar>
              <w:top w:type="dxa" w:w="80"/>
              <w:left w:type="dxa" w:w="120"/>
              <w:bottom w:type="dxa" w:w="80"/>
              <w:right w:type="dxa" w:w="120"/>
            </w:tcMar>
          </w:tcPr>
          <w:p>
            <w:pPr>
              <w:spacing w:after="40"/>
            </w:pPr>
            <w:r>
              <w:rPr>
                <w:rFonts w:ascii="Arial" w:cs="Arial" w:eastAsia="Arial" w:hAnsi="Arial"/>
                <w:b/>
                <w:bCs/>
                <w:i w:val="false"/>
                <w:iCs w:val="false"/>
                <w:color w:val="1E3A5F"/>
                <w:sz w:val="20"/>
                <w:szCs w:val="20"/>
              </w:rPr>
              <w:t xml:space="preserve">Foundational.</w:t>
            </w:r>
          </w:p>
          <w:p>
            <w:pPr>
              <w:spacing w:after="40"/>
            </w:pPr>
            <w:r>
              <w:rPr>
                <w:rFonts w:ascii="Arial" w:cs="Arial" w:eastAsia="Arial" w:hAnsi="Arial"/>
                <w:b w:val="false"/>
                <w:bCs w:val="false"/>
                <w:i w:val="false"/>
                <w:iCs w:val="false"/>
                <w:color w:val="333333"/>
                <w:sz w:val="20"/>
                <w:szCs w:val="20"/>
              </w:rPr>
              <w:t xml:space="preserve">Would give adaptive methods a principled switching rule. Currently all implementations use an arbitrary threshold.</w:t>
            </w:r>
          </w:p>
        </w:tc>
      </w:tr>
    </w:tbl>
    <w:p>
      <w:pPr>
        <w:spacing w:after="200"/>
      </w:pPr>
    </w:p>
    <w:p>
      <w:pPr>
        <w:pStyle w:val="Heading1"/>
        <w:spacing w:after="200" w:before="360"/>
      </w:pPr>
      <w:r>
        <w:rPr>
          <w:rFonts w:ascii="Arial" w:cs="Arial" w:eastAsia="Arial" w:hAnsi="Arial"/>
          <w:b/>
          <w:bCs/>
          <w:color w:val="1E3A5F"/>
          <w:sz w:val="32"/>
          <w:szCs w:val="32"/>
        </w:rPr>
        <w:t xml:space="preserve">4. How to Read This Table</w:t>
      </w:r>
    </w:p>
    <w:p>
      <w:pPr>
        <w:spacing w:after="160" w:line="276"/>
        <w:jc w:val="both"/>
      </w:pPr>
      <w:r>
        <w:rPr>
          <w:rFonts w:ascii="Arial" w:cs="Arial" w:eastAsia="Arial" w:hAnsi="Arial"/>
          <w:b w:val="false"/>
          <w:bCs w:val="false"/>
          <w:i w:val="false"/>
          <w:iCs w:val="false"/>
          <w:color w:val="333333"/>
          <w:sz w:val="22"/>
          <w:szCs w:val="22"/>
        </w:rPr>
        <w:t xml:space="preserve">The ranking is not academic priority. It is expected return on investment for a chemical industry operator, a pharmaceutical manufacturer, or an analytical laboratory. Target 1 can be implemented on Monday morning by any team with access to a compositional data pipeline and basic linear algebra. Target 7 requires a mathematician and months of work, but will underpin every adaptive method built afterward.</w:t>
      </w:r>
    </w:p>
    <w:p>
      <w:pPr>
        <w:spacing w:after="160" w:line="276"/>
        <w:jc w:val="both"/>
      </w:pPr>
      <w:r>
        <w:rPr>
          <w:rFonts w:ascii="Arial" w:cs="Arial" w:eastAsia="Arial" w:hAnsi="Arial"/>
          <w:b w:val="false"/>
          <w:bCs w:val="false"/>
          <w:i w:val="false"/>
          <w:iCs w:val="false"/>
          <w:color w:val="333333"/>
          <w:sz w:val="22"/>
          <w:szCs w:val="22"/>
        </w:rPr>
        <w:t xml:space="preserve">The table deliberately mixes immediate software changes (Targets 1–2), new methodology development (Targets 3–4), experimental data collection (Target 5), systematic empirical work (Target 6), and theoretical foundations (Target 7). A well-resourced operation invests across all levels simultaneously. A constrained operation starts at the top.</w:t>
      </w:r>
    </w:p>
    <w:p>
      <w:pPr>
        <w:spacing w:after="160" w:line="276"/>
        <w:jc w:val="both"/>
      </w:pPr>
      <w:r>
        <w:rPr>
          <w:rFonts w:ascii="Arial" w:cs="Arial" w:eastAsia="Arial" w:hAnsi="Arial"/>
          <w:b/>
          <w:bCs/>
          <w:i w:val="false"/>
          <w:iCs w:val="false"/>
          <w:color w:val="0D5C5C"/>
          <w:sz w:val="22"/>
          <w:szCs w:val="22"/>
        </w:rPr>
        <w:t xml:space="preserve">The critical insight: </w:t>
      </w:r>
      <w:r>
        <w:rPr>
          <w:rFonts w:ascii="Arial" w:cs="Arial" w:eastAsia="Arial" w:hAnsi="Arial"/>
          <w:b w:val="false"/>
          <w:bCs w:val="false"/>
          <w:i w:val="false"/>
          <w:iCs w:val="false"/>
          <w:color w:val="333333"/>
          <w:sz w:val="22"/>
          <w:szCs w:val="22"/>
        </w:rPr>
        <w:t xml:space="preserve">none of these targets were visible before the EITT diagnostic was applied. The chemical industry has operated for over a century with Shannon-based quality metrics at the simplex boundary without a systematic diagnostic showing that those metrics are geometrically unreliable in exactly that regime. The PRISM analysis does not create the problems. It reveals them, ranks them, and points to the corrections.</w:t>
      </w:r>
    </w:p>
    <w:p>
      <w:pPr>
        <w:pStyle w:val="Heading1"/>
        <w:spacing w:after="200" w:before="360"/>
      </w:pPr>
      <w:r>
        <w:rPr>
          <w:rFonts w:ascii="Arial" w:cs="Arial" w:eastAsia="Arial" w:hAnsi="Arial"/>
          <w:b/>
          <w:bCs/>
          <w:color w:val="1E3A5F"/>
          <w:sz w:val="32"/>
          <w:szCs w:val="32"/>
        </w:rPr>
        <w:t xml:space="preserve">5. The Scale of the Opportunity</w:t>
      </w:r>
    </w:p>
    <w:p>
      <w:pPr>
        <w:spacing w:after="160" w:line="276"/>
        <w:jc w:val="both"/>
      </w:pPr>
      <w:r>
        <w:rPr>
          <w:rFonts w:ascii="Arial" w:cs="Arial" w:eastAsia="Arial" w:hAnsi="Arial"/>
          <w:b w:val="false"/>
          <w:bCs w:val="false"/>
          <w:i w:val="false"/>
          <w:iCs w:val="false"/>
          <w:color w:val="333333"/>
          <w:sz w:val="22"/>
          <w:szCs w:val="22"/>
        </w:rPr>
        <w:t xml:space="preserve">The global chemical industry is valued at approximately $5.7 trillion annually. Pharmaceutical manufacturing, a subset, is approximately $1.5 trillion. Specialty chemicals, polymers, and advanced materials collectively account for another $2 trillion. Every one of these sectors uses compositional analysis. Every one of them monitors mixture quality. Many of them use entropy-based or information-theoretic metrics as part of their analytical infrastructure.</w:t>
      </w:r>
    </w:p>
    <w:p>
      <w:pPr>
        <w:spacing w:after="160" w:line="276"/>
        <w:jc w:val="both"/>
      </w:pPr>
      <w:r>
        <w:rPr>
          <w:rFonts w:ascii="Arial" w:cs="Arial" w:eastAsia="Arial" w:hAnsi="Arial"/>
          <w:b w:val="false"/>
          <w:bCs w:val="false"/>
          <w:i w:val="false"/>
          <w:iCs w:val="false"/>
          <w:color w:val="333333"/>
          <w:sz w:val="22"/>
          <w:szCs w:val="22"/>
        </w:rPr>
        <w:t xml:space="preserve">No group in any of these sectors has, to our knowledge, subjected their compositional analytics to a systematic entropy-invariance diagnostic. The reason is simple: the diagnostic did not exist. EITT was developed for energy markets. Its extension to chemistry is the first application outside that domain. The PRISM analysis that follows from it is the first structured attempt to convert entropy residuals into resource allocation targets for an industry.</w:t>
      </w:r>
    </w:p>
    <w:p>
      <w:pPr>
        <w:spacing w:after="160" w:line="276"/>
        <w:jc w:val="both"/>
      </w:pPr>
      <w:r>
        <w:rPr>
          <w:rFonts w:ascii="Arial" w:cs="Arial" w:eastAsia="Arial" w:hAnsi="Arial"/>
          <w:b w:val="false"/>
          <w:bCs w:val="false"/>
          <w:i w:val="false"/>
          <w:iCs w:val="false"/>
          <w:color w:val="333333"/>
          <w:sz w:val="22"/>
          <w:szCs w:val="22"/>
        </w:rPr>
        <w:t xml:space="preserve">The value proposition is not that PRISM discovers new chemistry. It discovers where the existing analytical framework is weakest, and it does so quantitatively. For an industry where a 1% improvement in process monitoring efficiency can represent billions in saved material, reduced waste, and avoided regulatory action, knowing exactly where to invest analytical effort is not a luxury. It is infrastructure.</w:t>
      </w:r>
    </w:p>
    <w:p>
      <w:pPr>
        <w:pStyle w:val="Heading1"/>
        <w:spacing w:after="200" w:before="360"/>
      </w:pPr>
      <w:r>
        <w:rPr>
          <w:rFonts w:ascii="Arial" w:cs="Arial" w:eastAsia="Arial" w:hAnsi="Arial"/>
          <w:b/>
          <w:bCs/>
          <w:color w:val="1E3A5F"/>
          <w:sz w:val="32"/>
          <w:szCs w:val="32"/>
        </w:rPr>
        <w:t xml:space="preserve">6. PRISM as a General Method</w:t>
      </w:r>
    </w:p>
    <w:p>
      <w:pPr>
        <w:spacing w:after="160" w:line="276"/>
        <w:jc w:val="both"/>
      </w:pPr>
      <w:r>
        <w:rPr>
          <w:rFonts w:ascii="Arial" w:cs="Arial" w:eastAsia="Arial" w:hAnsi="Arial"/>
          <w:b w:val="false"/>
          <w:bCs w:val="false"/>
          <w:i w:val="false"/>
          <w:iCs w:val="false"/>
          <w:color w:val="333333"/>
          <w:sz w:val="22"/>
          <w:szCs w:val="22"/>
        </w:rPr>
        <w:t xml:space="preserve">Chemistry is the first application. The method is domain-agnostic. Any system that produces compositional or distributional data can be subjected to EITT testing and subsequent PRISM analysis. The steps are always the same: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c>
          <w:tcPr>
            <w:tcW w:type="dxa" w:w="800"/>
            <w:tcBorders>
              <w:top w:val="single" w:color="CCCCCC" w:sz="1"/>
              <w:left w:val="single" w:color="CCCCCC" w:sz="1"/>
              <w:bottom w:val="single" w:color="CCCCCC" w:sz="1"/>
              <w:right w:val="single" w:color="CCCCCC" w:sz="1"/>
            </w:tcBorders>
            <w:shd w:fill="0D5C5C"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2200"/>
            <w:tcBorders>
              <w:top w:val="single" w:color="CCCCCC" w:sz="1"/>
              <w:left w:val="single" w:color="CCCCCC" w:sz="1"/>
              <w:bottom w:val="single" w:color="CCCCCC" w:sz="1"/>
              <w:right w:val="single" w:color="CCCCCC" w:sz="1"/>
            </w:tcBorders>
            <w:shd w:fill="0D5C5C"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6360"/>
            <w:tcBorders>
              <w:top w:val="single" w:color="CCCCCC" w:sz="1"/>
              <w:left w:val="single" w:color="CCCCCC" w:sz="1"/>
              <w:bottom w:val="single" w:color="CCCCCC" w:sz="1"/>
              <w:right w:val="single" w:color="CCCCCC" w:sz="1"/>
            </w:tcBorders>
            <w:shd w:fill="0D5C5C" w:val="clear"/>
            <w:tcMar>
              <w:top w:type="dxa" w:w="80"/>
              <w:left w:type="dxa" w:w="120"/>
              <w:bottom w:type="dxa" w:w="80"/>
              <w:right w:type="dxa" w:w="120"/>
            </w:tcMar>
          </w:tcPr>
          <w:p>
            <w:r>
              <w:rPr>
                <w:rFonts w:ascii="Arial" w:cs="Arial" w:eastAsia="Arial" w:hAnsi="Arial"/>
                <w:b/>
                <w:bCs/>
                <w:color w:val="FFFFFF"/>
                <w:sz w:val="20"/>
                <w:szCs w:val="20"/>
              </w:rPr>
              <w:t xml:space="preserve">Output</w:t>
            </w:r>
          </w:p>
        </w:tc>
      </w:tr>
      <w:tr>
        <w:tc>
          <w:tcPr>
            <w:tcW w:type="dxa" w:w="800"/>
            <w:tcBorders>
              <w:top w:val="single" w:color="CCCCCC" w:sz="1"/>
              <w:left w:val="single" w:color="CCCCCC" w:sz="1"/>
              <w:bottom w:val="single" w:color="CCCCCC" w:sz="1"/>
              <w:right w:val="single" w:color="CCCCCC" w:sz="1"/>
            </w:tcBorders>
            <w:shd w:fill="E6F2F2" w:val="clear"/>
            <w:tcMar>
              <w:top w:type="dxa" w:w="80"/>
              <w:left w:type="dxa" w:w="120"/>
              <w:bottom w:type="dxa" w:w="80"/>
              <w:right w:type="dxa" w:w="120"/>
            </w:tcMar>
          </w:tcPr>
          <w:p>
            <w:pPr>
              <w:spacing w:after="40"/>
            </w:pPr>
            <w:r>
              <w:rPr>
                <w:rFonts w:ascii="Arial" w:cs="Arial" w:eastAsia="Arial" w:hAnsi="Arial"/>
                <w:b/>
                <w:bCs/>
                <w:color w:val="333333"/>
                <w:sz w:val="20"/>
                <w:szCs w:val="20"/>
              </w:rPr>
              <w:t xml:space="preserve">1</w:t>
            </w:r>
          </w:p>
        </w:tc>
        <w:tc>
          <w:tcPr>
            <w:tcW w:type="dxa" w:w="2200"/>
            <w:tcBorders>
              <w:top w:val="single" w:color="CCCCCC" w:sz="1"/>
              <w:left w:val="single" w:color="CCCCCC" w:sz="1"/>
              <w:bottom w:val="single" w:color="CCCCCC" w:sz="1"/>
              <w:right w:val="single" w:color="CCCCCC" w:sz="1"/>
            </w:tcBorders>
            <w:shd w:fill="E6F2F2" w:val="clear"/>
            <w:tcMar>
              <w:top w:type="dxa" w:w="80"/>
              <w:left w:type="dxa" w:w="120"/>
              <w:bottom w:type="dxa" w:w="80"/>
              <w:right w:type="dxa" w:w="120"/>
            </w:tcMar>
          </w:tcPr>
          <w:p>
            <w:pPr>
              <w:spacing w:after="40"/>
            </w:pPr>
            <w:r>
              <w:rPr>
                <w:rFonts w:ascii="Arial" w:cs="Arial" w:eastAsia="Arial" w:hAnsi="Arial"/>
                <w:b/>
                <w:bCs/>
                <w:color w:val="333333"/>
                <w:sz w:val="20"/>
                <w:szCs w:val="20"/>
              </w:rPr>
              <w:t xml:space="preserve">Run EITT</w:t>
            </w:r>
          </w:p>
        </w:tc>
        <w:tc>
          <w:tcPr>
            <w:tcW w:type="dxa" w:w="6360"/>
            <w:tcBorders>
              <w:top w:val="single" w:color="CCCCCC" w:sz="1"/>
              <w:left w:val="single" w:color="CCCCCC" w:sz="1"/>
              <w:bottom w:val="single" w:color="CCCCCC" w:sz="1"/>
              <w:right w:val="single" w:color="CCCCCC" w:sz="1"/>
            </w:tcBorders>
            <w:shd w:fill="E6F2F2" w:val="clear"/>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Residuals across four diagnostic lenses, split by region (interior/boundary).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color w:val="333333"/>
                <w:sz w:val="20"/>
                <w:szCs w:val="20"/>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color w:val="333333"/>
                <w:sz w:val="20"/>
                <w:szCs w:val="20"/>
              </w:rPr>
              <w:t xml:space="preserve">Compute HUF-IDX</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Development index: overall distance from ground zero, decomposed into geometry vs. dynamics.</w:t>
            </w:r>
          </w:p>
        </w:tc>
      </w:tr>
      <w:tr>
        <w:tc>
          <w:tcPr>
            <w:tcW w:type="dxa" w:w="800"/>
            <w:tcBorders>
              <w:top w:val="single" w:color="CCCCCC" w:sz="1"/>
              <w:left w:val="single" w:color="CCCCCC" w:sz="1"/>
              <w:bottom w:val="single" w:color="CCCCCC" w:sz="1"/>
              <w:right w:val="single" w:color="CCCCCC" w:sz="1"/>
            </w:tcBorders>
            <w:shd w:fill="E6F2F2" w:val="clear"/>
            <w:tcMar>
              <w:top w:type="dxa" w:w="80"/>
              <w:left w:type="dxa" w:w="120"/>
              <w:bottom w:type="dxa" w:w="80"/>
              <w:right w:type="dxa" w:w="120"/>
            </w:tcMar>
          </w:tcPr>
          <w:p>
            <w:pPr>
              <w:spacing w:after="40"/>
            </w:pPr>
            <w:r>
              <w:rPr>
                <w:rFonts w:ascii="Arial" w:cs="Arial" w:eastAsia="Arial" w:hAnsi="Arial"/>
                <w:b/>
                <w:bCs/>
                <w:color w:val="333333"/>
                <w:sz w:val="20"/>
                <w:szCs w:val="20"/>
              </w:rPr>
              <w:t xml:space="preserve">3</w:t>
            </w:r>
          </w:p>
        </w:tc>
        <w:tc>
          <w:tcPr>
            <w:tcW w:type="dxa" w:w="2200"/>
            <w:tcBorders>
              <w:top w:val="single" w:color="CCCCCC" w:sz="1"/>
              <w:left w:val="single" w:color="CCCCCC" w:sz="1"/>
              <w:bottom w:val="single" w:color="CCCCCC" w:sz="1"/>
              <w:right w:val="single" w:color="CCCCCC" w:sz="1"/>
            </w:tcBorders>
            <w:shd w:fill="E6F2F2" w:val="clear"/>
            <w:tcMar>
              <w:top w:type="dxa" w:w="80"/>
              <w:left w:type="dxa" w:w="120"/>
              <w:bottom w:type="dxa" w:w="80"/>
              <w:right w:type="dxa" w:w="120"/>
            </w:tcMar>
          </w:tcPr>
          <w:p>
            <w:pPr>
              <w:spacing w:after="40"/>
            </w:pPr>
            <w:r>
              <w:rPr>
                <w:rFonts w:ascii="Arial" w:cs="Arial" w:eastAsia="Arial" w:hAnsi="Arial"/>
                <w:b/>
                <w:bCs/>
                <w:color w:val="333333"/>
                <w:sz w:val="20"/>
                <w:szCs w:val="20"/>
              </w:rPr>
              <w:t xml:space="preserve">Apply PRISM</w:t>
            </w:r>
          </w:p>
        </w:tc>
        <w:tc>
          <w:tcPr>
            <w:tcW w:type="dxa" w:w="6360"/>
            <w:tcBorders>
              <w:top w:val="single" w:color="CCCCCC" w:sz="1"/>
              <w:left w:val="single" w:color="CCCCCC" w:sz="1"/>
              <w:bottom w:val="single" w:color="CCCCCC" w:sz="1"/>
              <w:right w:val="single" w:color="CCCCCC" w:sz="1"/>
            </w:tcBorders>
            <w:shd w:fill="E6F2F2" w:val="clear"/>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Ranked allocation targets with mechanism, correction, and expected return for each failure mode.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color w:val="333333"/>
                <w:sz w:val="20"/>
                <w:szCs w:val="20"/>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color w:val="333333"/>
                <w:sz w:val="20"/>
                <w:szCs w:val="20"/>
              </w:rPr>
              <w:t xml:space="preserve">Implement</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Deploy corrections from highest to lowest return. Collect new data. Re-run EITT. Iterate.</w:t>
            </w:r>
          </w:p>
        </w:tc>
      </w:tr>
      <w:tr>
        <w:tc>
          <w:tcPr>
            <w:tcW w:type="dxa" w:w="800"/>
            <w:tcBorders>
              <w:top w:val="single" w:color="CCCCCC" w:sz="1"/>
              <w:left w:val="single" w:color="CCCCCC" w:sz="1"/>
              <w:bottom w:val="single" w:color="CCCCCC" w:sz="1"/>
              <w:right w:val="single" w:color="CCCCCC" w:sz="1"/>
            </w:tcBorders>
            <w:shd w:fill="E6F2F2" w:val="clear"/>
            <w:tcMar>
              <w:top w:type="dxa" w:w="80"/>
              <w:left w:type="dxa" w:w="120"/>
              <w:bottom w:type="dxa" w:w="80"/>
              <w:right w:type="dxa" w:w="120"/>
            </w:tcMar>
          </w:tcPr>
          <w:p>
            <w:pPr>
              <w:spacing w:after="40"/>
            </w:pPr>
            <w:r>
              <w:rPr>
                <w:rFonts w:ascii="Arial" w:cs="Arial" w:eastAsia="Arial" w:hAnsi="Arial"/>
                <w:b/>
                <w:bCs/>
                <w:color w:val="333333"/>
                <w:sz w:val="20"/>
                <w:szCs w:val="20"/>
              </w:rPr>
              <w:t xml:space="preserve">5</w:t>
            </w:r>
          </w:p>
        </w:tc>
        <w:tc>
          <w:tcPr>
            <w:tcW w:type="dxa" w:w="2200"/>
            <w:tcBorders>
              <w:top w:val="single" w:color="CCCCCC" w:sz="1"/>
              <w:left w:val="single" w:color="CCCCCC" w:sz="1"/>
              <w:bottom w:val="single" w:color="CCCCCC" w:sz="1"/>
              <w:right w:val="single" w:color="CCCCCC" w:sz="1"/>
            </w:tcBorders>
            <w:shd w:fill="E6F2F2" w:val="clear"/>
            <w:tcMar>
              <w:top w:type="dxa" w:w="80"/>
              <w:left w:type="dxa" w:w="120"/>
              <w:bottom w:type="dxa" w:w="80"/>
              <w:right w:type="dxa" w:w="120"/>
            </w:tcMar>
          </w:tcPr>
          <w:p>
            <w:pPr>
              <w:spacing w:after="40"/>
            </w:pPr>
            <w:r>
              <w:rPr>
                <w:rFonts w:ascii="Arial" w:cs="Arial" w:eastAsia="Arial" w:hAnsi="Arial"/>
                <w:b/>
                <w:bCs/>
                <w:color w:val="333333"/>
                <w:sz w:val="20"/>
                <w:szCs w:val="20"/>
              </w:rPr>
              <w:t xml:space="preserve">Monitor</w:t>
            </w:r>
          </w:p>
        </w:tc>
        <w:tc>
          <w:tcPr>
            <w:tcW w:type="dxa" w:w="6360"/>
            <w:tcBorders>
              <w:top w:val="single" w:color="CCCCCC" w:sz="1"/>
              <w:left w:val="single" w:color="CCCCCC" w:sz="1"/>
              <w:bottom w:val="single" w:color="CCCCCC" w:sz="1"/>
              <w:right w:val="single" w:color="CCCCCC" w:sz="1"/>
            </w:tcBorders>
            <w:shd w:fill="E6F2F2" w:val="clear"/>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Track HUF-IDX over time. Declining residual = analytical maturation. New residual structure = new frontier.</w:t>
            </w:r>
          </w:p>
        </w:tc>
      </w:tr>
    </w:tbl>
    <w:p>
      <w:pPr>
        <w:spacing w:after="200"/>
      </w:pPr>
    </w:p>
    <w:p>
      <w:pPr>
        <w:spacing w:after="160" w:line="276"/>
        <w:jc w:val="both"/>
      </w:pPr>
      <w:r>
        <w:rPr>
          <w:rFonts w:ascii="Arial" w:cs="Arial" w:eastAsia="Arial" w:hAnsi="Arial"/>
          <w:b w:val="false"/>
          <w:bCs w:val="false"/>
          <w:i w:val="false"/>
          <w:iCs w:val="false"/>
          <w:color w:val="333333"/>
          <w:sz w:val="22"/>
          <w:szCs w:val="22"/>
        </w:rPr>
        <w:t xml:space="preserve">Steps 1–3 are diagnostic. Step 4 is operational. Step 5 closes the loop. The entire cycle can be run on a laptop in under an hour for datasets up to 500,000 rows. The pipeline is open source, single-file Python, with no proprietary dependencies.</w:t>
      </w:r>
    </w:p>
    <w:p>
      <w:pPr>
        <w:pStyle w:val="Heading1"/>
        <w:spacing w:after="200" w:before="360"/>
      </w:pPr>
      <w:r>
        <w:rPr>
          <w:rFonts w:ascii="Arial" w:cs="Arial" w:eastAsia="Arial" w:hAnsi="Arial"/>
          <w:b/>
          <w:bCs/>
          <w:color w:val="1E3A5F"/>
          <w:sz w:val="32"/>
          <w:szCs w:val="32"/>
        </w:rPr>
        <w:t xml:space="preserve">7. A New Monitoring Category</w:t>
      </w:r>
    </w:p>
    <w:p>
      <w:pPr>
        <w:spacing w:after="160" w:line="276"/>
        <w:jc w:val="both"/>
      </w:pPr>
      <w:r>
        <w:rPr>
          <w:rFonts w:ascii="Arial" w:cs="Arial" w:eastAsia="Arial" w:hAnsi="Arial"/>
          <w:b w:val="false"/>
          <w:bCs w:val="false"/>
          <w:i w:val="false"/>
          <w:iCs w:val="false"/>
          <w:color w:val="333333"/>
          <w:sz w:val="22"/>
          <w:szCs w:val="22"/>
        </w:rPr>
        <w:t xml:space="preserve">PRISM creates something that did not previously exist in compositional data analysis: a monitoring category with diagnostic capabilities. Process monitoring tells you whether a measurement is within specification. Statistical process control tells you whether the process is stable. Neither tells you whether your analytical framework is adequate for the system you are measuring.</w:t>
      </w:r>
    </w:p>
    <w:p>
      <w:pPr>
        <w:spacing w:after="160" w:line="276"/>
        <w:jc w:val="both"/>
      </w:pPr>
      <w:r>
        <w:rPr>
          <w:rFonts w:ascii="Arial" w:cs="Arial" w:eastAsia="Arial" w:hAnsi="Arial"/>
          <w:b w:val="false"/>
          <w:bCs w:val="false"/>
          <w:i w:val="false"/>
          <w:iCs w:val="false"/>
          <w:color w:val="333333"/>
          <w:sz w:val="22"/>
          <w:szCs w:val="22"/>
        </w:rPr>
        <w:t xml:space="preserve">PRISM occupies this space. It monitors the monitor. It tests whether the metrics you are using to assess your process are themselves geometrically sound for the region of the simplex your process occupies. If your process runs in the simplex interior, Shannon-based metrics are reliable and PRISM will confirm this with a low residual. If your process runs near the boundary — as all trace-level, purity, and dilute-mixture analyses do — PRISM will quantify exactly how unreliable your current metrics are, and point to the specific correction that closes the gap.</w:t>
      </w:r>
    </w:p>
    <w:p>
      <w:pPr>
        <w:spacing w:after="160" w:line="276"/>
        <w:jc w:val="both"/>
      </w:pPr>
      <w:r>
        <w:rPr>
          <w:rFonts w:ascii="Arial" w:cs="Arial" w:eastAsia="Arial" w:hAnsi="Arial"/>
          <w:b/>
          <w:bCs/>
          <w:i w:val="false"/>
          <w:iCs w:val="false"/>
          <w:color w:val="0D5C5C"/>
          <w:sz w:val="22"/>
          <w:szCs w:val="22"/>
        </w:rPr>
        <w:t xml:space="preserve">This is not competing with existing process monitoring. </w:t>
      </w:r>
      <w:r>
        <w:rPr>
          <w:rFonts w:ascii="Arial" w:cs="Arial" w:eastAsia="Arial" w:hAnsi="Arial"/>
          <w:b w:val="false"/>
          <w:bCs w:val="false"/>
          <w:i w:val="false"/>
          <w:iCs w:val="false"/>
          <w:color w:val="333333"/>
          <w:sz w:val="22"/>
          <w:szCs w:val="22"/>
        </w:rPr>
        <w:t xml:space="preserve">It is a meta-diagnostic that ensures the tools used for process monitoring are fit for purpose. It belongs in the same category as calibration verification, measurement uncertainty quantification, and analytical method validation — except that it operates on the metric itself rather than on the instrument.</w:t>
      </w:r>
    </w:p>
    <w:p>
      <w:pPr>
        <w:pStyle w:val="Heading1"/>
        <w:spacing w:after="200" w:before="360"/>
      </w:pPr>
      <w:r>
        <w:rPr>
          <w:rFonts w:ascii="Arial" w:cs="Arial" w:eastAsia="Arial" w:hAnsi="Arial"/>
          <w:b/>
          <w:bCs/>
          <w:color w:val="1E3A5F"/>
          <w:sz w:val="32"/>
          <w:szCs w:val="32"/>
        </w:rPr>
        <w:t xml:space="preserve">8. Lineage and Acknowledgments</w:t>
      </w:r>
    </w:p>
    <w:p>
      <w:pPr>
        <w:spacing w:after="160" w:line="276"/>
        <w:jc w:val="both"/>
      </w:pPr>
      <w:r>
        <w:rPr>
          <w:rFonts w:ascii="Arial" w:cs="Arial" w:eastAsia="Arial" w:hAnsi="Arial"/>
          <w:b w:val="false"/>
          <w:bCs w:val="false"/>
          <w:i w:val="false"/>
          <w:iCs w:val="false"/>
          <w:color w:val="333333"/>
          <w:sz w:val="22"/>
          <w:szCs w:val="22"/>
        </w:rPr>
        <w:t xml:space="preserve">PRISM is built on three foundations. The EITT invariance observation (HUF, Rogue Wave Audio) provides the diagnostic. The Aitchison geometry of the simplex (Aitchison 1982, developed extensively by the CoDa community including Pawlowsky-Glahn, Egozcue, and colleagues at CoDaWork) provides the corrective lens that closes the largest gap. The CheMixHub benchmark (Rajaonson et al., NeurIPS 2025) provides the data.</w:t>
      </w:r>
    </w:p>
    <w:p>
      <w:pPr>
        <w:spacing w:after="160" w:line="276"/>
        <w:jc w:val="both"/>
      </w:pPr>
      <w:r>
        <w:rPr>
          <w:rFonts w:ascii="Arial" w:cs="Arial" w:eastAsia="Arial" w:hAnsi="Arial"/>
          <w:b w:val="false"/>
          <w:bCs w:val="false"/>
          <w:i w:val="false"/>
          <w:iCs w:val="false"/>
          <w:color w:val="333333"/>
          <w:sz w:val="22"/>
          <w:szCs w:val="22"/>
        </w:rPr>
        <w:t xml:space="preserve">Without CoDa’s decades of work establishing the log-ratio framework and the Aitchison distance as the natural metric on the simplex, Target 1 of this PRISM analysis would have no correction to recommend. The diagnostic would identify the problem but offer no solution. It is the combination of HUF’s diagnostic capability and CoDa’s geometric framework that makes PRISM actionable rather than merely informative.</w:t>
      </w:r>
    </w:p>
    <w:p>
      <w:pPr>
        <w:pStyle w:val="Heading1"/>
        <w:spacing w:after="200" w:before="360"/>
      </w:pPr>
      <w:r>
        <w:rPr>
          <w:rFonts w:ascii="Arial" w:cs="Arial" w:eastAsia="Arial" w:hAnsi="Arial"/>
          <w:b/>
          <w:bCs/>
          <w:color w:val="1E3A5F"/>
          <w:sz w:val="32"/>
          <w:szCs w:val="32"/>
        </w:rPr>
        <w:t xml:space="preserve">9. Honest Disclosures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single" w:color="CCCCCC" w:sz="1"/>
              <w:left w:val="single" w:color="CCCCCC" w:sz="1"/>
              <w:bottom w:val="single" w:color="CCCCCC" w:sz="1"/>
              <w:right w:val="single" w:color="CCCCCC" w:sz="1"/>
            </w:tcBorders>
            <w:shd w:fill="333333"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8760"/>
            <w:tcBorders>
              <w:top w:val="single" w:color="CCCCCC" w:sz="1"/>
              <w:left w:val="single" w:color="CCCCCC" w:sz="1"/>
              <w:bottom w:val="single" w:color="CCCCCC" w:sz="1"/>
              <w:right w:val="single" w:color="CCCCCC" w:sz="1"/>
            </w:tcBorders>
            <w:shd w:fill="333333" w:val="clear"/>
            <w:tcMar>
              <w:top w:type="dxa" w:w="80"/>
              <w:left w:type="dxa" w:w="120"/>
              <w:bottom w:type="dxa" w:w="80"/>
              <w:right w:type="dxa" w:w="120"/>
            </w:tcMar>
          </w:tcPr>
          <w:p>
            <w:r>
              <w:rPr>
                <w:rFonts w:ascii="Arial" w:cs="Arial" w:eastAsia="Arial" w:hAnsi="Arial"/>
                <w:b/>
                <w:bCs/>
                <w:color w:val="FFFFFF"/>
                <w:sz w:val="20"/>
                <w:szCs w:val="20"/>
              </w:rPr>
              <w:t xml:space="preserve">Disclosure</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1</w:t>
            </w:r>
          </w:p>
        </w:tc>
        <w:tc>
          <w:tcPr>
            <w:tcW w:type="dxa" w:w="8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PRISM is a proposed method applied here for the first time. It has not been independently validated on other domains.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2</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The return-on-investment rankings are qualitative estimates based on industry scale and correction availability, not formal economic analysis.</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3</w:t>
            </w:r>
          </w:p>
        </w:tc>
        <w:tc>
          <w:tcPr>
            <w:tcW w:type="dxa" w:w="8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The $5.7 trillion figure is the global chemical industry. The fraction affected by boundary entropy issues is unknown but non-trivial.</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4</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Target 1 (replace Shannon with Aitchison at boundary) requires implementation and testing in actual process environments. Laboratory benchmarks are not production deployments.</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5</w:t>
            </w:r>
          </w:p>
        </w:tc>
        <w:tc>
          <w:tcPr>
            <w:tcW w:type="dxa" w:w="8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The 50/50 geometry-dynamics decomposition is approximate. The true ratio will vary by system.</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6</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PRISM does not replace domain expertise. It supplements it by providing a structured framework for reading diagnostic residuals.</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7</w:t>
            </w:r>
          </w:p>
        </w:tc>
        <w:tc>
          <w:tcPr>
            <w:tcW w:type="dxa" w:w="8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The author is the originator of HUF and EITT. This is a first-party analysis, not an independent audit.</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8</w:t>
            </w:r>
          </w:p>
        </w:tc>
        <w:tc>
          <w:tcPr>
            <w:tcW w:type="dxa" w:w="8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This document is science in review. The companion document (EITT on the Chemical Simplex) contains the raw empirical findings. The HUF Development Index document contains the interpretive framework. PRISM is the operational layer.</w:t>
            </w:r>
          </w:p>
        </w:tc>
      </w:tr>
    </w:tbl>
    <w:p>
      <w:pPr>
        <w:spacing w:after="200"/>
      </w:pPr>
    </w:p>
    <w:p>
      <w:pPr>
        <w:pBdr>
          <w:bottom w:val="single" w:color="0D5C5C" w:sz="6" w:space="1"/>
        </w:pBdr>
        <w:spacing w:after="200"/>
      </w:pPr>
    </w:p>
    <w:p>
      <w:pPr>
        <w:pStyle w:val="Heading2"/>
        <w:spacing w:after="200" w:before="240"/>
      </w:pPr>
      <w:r>
        <w:rPr>
          <w:rFonts w:ascii="Arial" w:cs="Arial" w:eastAsia="Arial" w:hAnsi="Arial"/>
          <w:b/>
          <w:bCs/>
          <w:color w:val="0D5C5C"/>
          <w:sz w:val="28"/>
          <w:szCs w:val="28"/>
        </w:rPr>
        <w:t xml:space="preserve">Document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Document</w:t>
            </w:r>
          </w:p>
        </w:tc>
        <w:tc>
          <w:tcPr>
            <w:tcW w:type="dxa" w:w="6160"/>
            <w:tcBorders>
              <w:top w:val="single" w:color="CCCCCC" w:sz="1"/>
              <w:left w:val="single" w:color="CCCCCC" w:sz="1"/>
              <w:bottom w:val="single" w:color="CCCCCC" w:sz="1"/>
              <w:right w:val="single" w:color="CCCCCC" w:sz="1"/>
            </w:tcBorders>
            <w:shd w:fill="1E3A5F"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2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pPr>
              <w:spacing w:after="40"/>
            </w:pPr>
            <w:r>
              <w:rPr>
                <w:rFonts w:ascii="Arial" w:cs="Arial" w:eastAsia="Arial" w:hAnsi="Arial"/>
                <w:b/>
                <w:bCs/>
                <w:color w:val="333333"/>
                <w:sz w:val="20"/>
                <w:szCs w:val="20"/>
              </w:rPr>
              <w:t xml:space="preserve">EITT on the Chemical Simplex</w:t>
            </w:r>
          </w:p>
        </w:tc>
        <w:tc>
          <w:tcPr>
            <w:tcW w:type="dxa" w:w="616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Empirical findings. Four-lens results, failure taxonomy, multi-modal simplex analysis. The raw science.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bCs/>
                <w:color w:val="333333"/>
                <w:sz w:val="20"/>
                <w:szCs w:val="20"/>
              </w:rPr>
              <w:t xml:space="preserve">The HUF Development Index</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Interpretive framework. What residuals mean, how to read them, where chemistry sits on the development arc.</w:t>
            </w:r>
          </w:p>
        </w:tc>
      </w:tr>
      <w:tr>
        <w:tc>
          <w:tcPr>
            <w:tcW w:type="dxa" w:w="320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pPr>
              <w:spacing w:after="40"/>
            </w:pPr>
            <w:r>
              <w:rPr>
                <w:rFonts w:ascii="Arial" w:cs="Arial" w:eastAsia="Arial" w:hAnsi="Arial"/>
                <w:b/>
                <w:bCs/>
                <w:color w:val="333333"/>
                <w:sz w:val="20"/>
                <w:szCs w:val="20"/>
              </w:rPr>
              <w:t xml:space="preserve">PRISM: Post-Residual Investigation for System Maturation</w:t>
            </w:r>
          </w:p>
        </w:tc>
        <w:tc>
          <w:tcPr>
            <w:tcW w:type="dxa" w:w="6160"/>
            <w:tcBorders>
              <w:top w:val="single" w:color="CCCCCC" w:sz="1"/>
              <w:left w:val="single" w:color="CCCCCC" w:sz="1"/>
              <w:bottom w:val="single" w:color="CCCCCC" w:sz="1"/>
              <w:right w:val="single" w:color="CCCCCC" w:sz="1"/>
            </w:tcBorders>
            <w:shd w:fill="E8F0F8" w:val="clear"/>
            <w:tcMar>
              <w:top w:type="dxa" w:w="80"/>
              <w:left w:type="dxa" w:w="120"/>
              <w:bottom w:type="dxa" w:w="80"/>
              <w:right w:type="dxa" w:w="120"/>
            </w:tcMar>
          </w:tcPr>
          <w:p>
            <w:pPr>
              <w:spacing w:after="40"/>
            </w:pPr>
            <w:r>
              <w:rPr>
                <w:rFonts w:ascii="Arial" w:cs="Arial" w:eastAsia="Arial" w:hAnsi="Arial"/>
                <w:b w:val="false"/>
                <w:bCs w:val="false"/>
                <w:color w:val="333333"/>
                <w:sz w:val="20"/>
                <w:szCs w:val="20"/>
              </w:rPr>
              <w:t xml:space="preserve">Operational layer. Ranked resource allocation targets. What to do about it. This document.</w:t>
            </w:r>
          </w:p>
        </w:tc>
      </w:tr>
    </w:tbl>
    <w:p>
      <w:pPr>
        <w:spacing w:after="200"/>
      </w:pPr>
    </w:p>
    <w:p>
      <w:pPr>
        <w:spacing w:after="160" w:line="276"/>
        <w:jc w:val="both"/>
      </w:pPr>
      <w:r>
        <w:rPr>
          <w:rFonts w:ascii="Arial" w:cs="Arial" w:eastAsia="Arial" w:hAnsi="Arial"/>
          <w:b/>
          <w:bCs/>
          <w:i w:val="false"/>
          <w:iCs w:val="false"/>
          <w:color w:val="0D5C5C"/>
          <w:sz w:val="22"/>
          <w:szCs w:val="22"/>
        </w:rPr>
        <w:t xml:space="preserve">Standard: </w:t>
      </w:r>
      <w:r>
        <w:rPr>
          <w:rFonts w:ascii="Arial" w:cs="Arial" w:eastAsia="Arial" w:hAnsi="Arial"/>
          <w:b w:val="false"/>
          <w:bCs w:val="false"/>
          <w:i w:val="false"/>
          <w:iCs w:val="false"/>
          <w:color w:val="333333"/>
          <w:sz w:val="22"/>
          <w:szCs w:val="22"/>
        </w:rPr>
        <w:t xml:space="preserve">RWA-001 (Rogue Wave Audio Corporate Reference).</w:t>
      </w:r>
    </w:p>
    <w:p>
      <w:pPr>
        <w:spacing w:after="160" w:line="276"/>
        <w:jc w:val="both"/>
      </w:pPr>
      <w:r>
        <w:rPr>
          <w:rFonts w:ascii="Arial" w:cs="Arial" w:eastAsia="Arial" w:hAnsi="Arial"/>
          <w:b/>
          <w:bCs/>
          <w:i w:val="false"/>
          <w:iCs w:val="false"/>
          <w:color w:val="0D5C5C"/>
          <w:sz w:val="22"/>
          <w:szCs w:val="22"/>
        </w:rPr>
        <w:t xml:space="preserve">Governance: </w:t>
      </w:r>
      <w:r>
        <w:rPr>
          <w:rFonts w:ascii="Arial" w:cs="Arial" w:eastAsia="Arial" w:hAnsi="Arial"/>
          <w:b w:val="false"/>
          <w:bCs w:val="false"/>
          <w:i w:val="false"/>
          <w:iCs w:val="false"/>
          <w:color w:val="333333"/>
          <w:sz w:val="22"/>
          <w:szCs w:val="22"/>
        </w:rPr>
        <w:t xml:space="preserve">HUF-GOV. Measure, report, file. No intervention on the data.</w:t>
      </w:r>
    </w:p>
    <w:p>
      <w:pPr>
        <w:spacing w:after="160" w:line="276"/>
        <w:jc w:val="both"/>
      </w:pPr>
      <w:r>
        <w:rPr>
          <w:rFonts w:ascii="Arial" w:cs="Arial" w:eastAsia="Arial" w:hAnsi="Arial"/>
          <w:b/>
          <w:bCs/>
          <w:i w:val="false"/>
          <w:iCs w:val="false"/>
          <w:color w:val="0D5C5C"/>
          <w:sz w:val="22"/>
          <w:szCs w:val="22"/>
        </w:rPr>
        <w:t xml:space="preserve">Repository: </w:t>
      </w:r>
      <w:r>
        <w:rPr>
          <w:rFonts w:ascii="Arial" w:cs="Arial" w:eastAsia="Arial" w:hAnsi="Arial"/>
          <w:b w:val="false"/>
          <w:bCs w:val="false"/>
          <w:i w:val="false"/>
          <w:iCs w:val="false"/>
          <w:color w:val="333333"/>
          <w:sz w:val="22"/>
          <w:szCs w:val="22"/>
        </w:rPr>
        <w:t xml:space="preserve">github.com/PeterHiggins19/Higgins-Unity-Framework</w:t>
      </w:r>
    </w:p>
    <w:p>
      <w:pPr>
        <w:spacing w:after="100"/>
      </w:pPr>
    </w:p>
    <w:p>
      <w:pPr>
        <w:spacing w:after="40"/>
        <w:jc w:val="center"/>
      </w:pPr>
      <w:r>
        <w:rPr>
          <w:rFonts w:ascii="Arial" w:cs="Arial" w:eastAsia="Arial" w:hAnsi="Arial"/>
          <w:color w:val="666666"/>
          <w:sz w:val="18"/>
          <w:szCs w:val="18"/>
        </w:rPr>
        <w:t xml:space="preserve">Peter Higgins  |  Rogue Wave Audio  |  PeterHiggins@RogueWaveAudio.com  |  April 2026</w:t>
      </w:r>
    </w:p>
    <w:p>
      <w:pPr>
        <w:jc w:val="center"/>
      </w:pPr>
      <w:r>
        <w:rPr>
          <w:rFonts w:ascii="Arial" w:cs="Arial" w:eastAsia="Arial" w:hAnsi="Arial"/>
          <w:i/>
          <w:iCs/>
          <w:color w:val="666666"/>
          <w:sz w:val="18"/>
          <w:szCs w:val="18"/>
        </w:rPr>
        <w:t xml:space="preserve">All code, data, and this report available at PeterHiggins19/Higgins-Unity-Framework.</w:t>
      </w:r>
    </w:p>
    <w:p>
      <w:pPr>
        <w:jc w:val="center"/>
      </w:pPr>
      <w:r>
        <w:rPr>
          <w:rFonts w:ascii="Arial" w:cs="Arial" w:eastAsia="Arial" w:hAnsi="Arial"/>
          <w:i/>
          <w:iCs/>
          <w:color w:val="666666"/>
          <w:sz w:val="18"/>
          <w:szCs w:val="18"/>
        </w:rPr>
        <w:t xml:space="preserve">Multi-adversarial review (Claude, ChatGPT, Grok, Gemini, Copilot) applied throughout.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Peter Higgins | Rogue Wave Audio | PeterHiggins@RogueWaveAudio.com | 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D5C5C" w:sz="4" w:space="1"/>
      </w:pBdr>
      <w:jc w:val="right"/>
    </w:pPr>
    <w:r>
      <w:rPr>
        <w:rFonts w:ascii="Arial" w:cs="Arial" w:eastAsia="Arial" w:hAnsi="Arial"/>
        <w:color w:val="999999"/>
        <w:sz w:val="16"/>
        <w:szCs w:val="16"/>
      </w:rPr>
      <w:t xml:space="preserve">PRISM Analysis  |  </w:t>
    </w:r>
    <w:r>
      <w:rPr>
        <w:rFonts w:ascii="Arial" w:cs="Arial" w:eastAsia="Arial" w:hAnsi="Arial"/>
        <w:b/>
        <w:bCs/>
        <w:color w:val="0D5C5C"/>
        <w:sz w:val="16"/>
        <w:szCs w:val="16"/>
      </w:rPr>
      <w:t xml:space="preserve">Rogue Wave Audio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80" w:before="240"/>
      <w:outlineLvl w:val="1"/>
    </w:pPr>
    <w:rPr>
      <w:rFonts w:ascii="Arial" w:cs="Arial" w:eastAsia="Arial" w:hAnsi="Arial"/>
      <w:b/>
      <w:bCs/>
      <w:sz w:val="28"/>
      <w:szCs w:val="28"/>
    </w:rPr>
  </w:style>
  <w:style w:type="paragraph" w:styleId="Heading3">
    <w:name w:val="Heading 3"/>
    <w:basedOn w:val="Normal"/>
    <w:next w:val="Normal"/>
    <w:qFormat/>
    <w:pPr>
      <w:spacing w:after="16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2026-04-11T04:53:41.037Z</dcterms:created>
  <dcterms:modified xsi:type="dcterms:W3CDTF">2026-04-11T04:53:41.037Z</dcterms:modified>
</cp:coreProperties>
</file>

<file path=docProps/custom.xml><?xml version="1.0" encoding="utf-8"?>
<Properties xmlns="http://schemas.openxmlformats.org/officeDocument/2006/custom-properties" xmlns:vt="http://schemas.openxmlformats.org/officeDocument/2006/docPropsVTypes"/>
</file>