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A1628"/>
          <w:sz w:val="40"/>
          <w:szCs w:val="40"/>
        </w:rPr>
        <w:t xml:space="preserve">EITT</w:t>
      </w:r>
    </w:p>
    <w:p>
      <w:pPr>
        <w:spacing w:after="20"/>
        <w:jc w:val="center"/>
      </w:pPr>
      <w:r>
        <w:rPr>
          <w:rFonts w:ascii="Arial" w:cs="Arial" w:eastAsia="Arial" w:hAnsi="Arial"/>
          <w:color w:val="0D7377"/>
          <w:sz w:val="26"/>
          <w:szCs w:val="26"/>
        </w:rPr>
        <w:t xml:space="preserve">Entropy-Invariant Time Transformer</w:t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A one-page reference  |  Peter Higgins  |  CoDaWork 2026</w:t>
      </w:r>
    </w:p>
    <w:p>
      <w:pPr>
        <w:pStyle w:val="Heading1"/>
      </w:pPr>
      <w:r>
        <w:t xml:space="preserve">The Question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0D7377" w:sz="12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line="276"/>
            </w:pPr>
            <w:r>
              <w:rPr>
                <w:i/>
                <w:iCs/>
                <w:color w:val="0A1628"/>
                <w:sz w:val="21"/>
                <w:szCs w:val="21"/>
              </w:rPr>
              <w:t xml:space="preserve">When you reduce the resolution of a composition — aggregating parts, coarsening time steps, or decimating a mixture — what must the operation preserve to remain valid?</w:t>
            </w:r>
          </w:p>
        </w:tc>
      </w:tr>
    </w:tbl>
    <w:p>
      <w:pPr>
        <w:pStyle w:val="Heading1"/>
      </w:pPr>
      <w:r>
        <w:t xml:space="preserve">Two Candidate Decimations</w:t>
      </w:r>
    </w:p>
    <w:p>
      <w:pPr>
        <w:pStyle w:val="Heading2"/>
      </w:pPr>
      <w:r>
        <w:t xml:space="preserve">Arithmetic Mean (Standard)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300"/>
              <w:bottom w:type="dxa" w:w="80"/>
              <w:right w:type="dxa" w:w="200"/>
            </w:tcMar>
          </w:tcPr>
          <w:p>
            <w:pPr>
              <w:spacing w:after="40" w:line="260"/>
            </w:pPr>
            <w:r>
              <w:rPr>
                <w:rFonts w:ascii="Courier New" w:cs="Courier New" w:eastAsia="Courier New" w:hAnsi="Courier New"/>
                <w:color w:val="0A1628"/>
                <w:sz w:val="19"/>
                <w:szCs w:val="19"/>
              </w:rPr>
              <w:t xml:space="preserve">x_merged = (x_a + x_b) / 2     then close to simplex</w:t>
            </w:r>
          </w:p>
        </w:tc>
      </w:tr>
    </w:tbl>
    <w:p>
      <w:pPr>
        <w:spacing w:after="100" w:line="276"/>
      </w:pPr>
      <w:r>
        <w:rPr>
          <w:sz w:val="21"/>
          <w:szCs w:val="21"/>
        </w:rPr>
        <w:t xml:space="preserve">Treats compositional parts as additive quantities. Fast, familiar, and the default in most software. But compositions are not additive — they carry relative information.</w:t>
      </w:r>
    </w:p>
    <w:p>
      <w:pPr>
        <w:pStyle w:val="Heading2"/>
      </w:pPr>
      <w:r>
        <w:t xml:space="preserve">Geometric Mean (Compositional)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300"/>
              <w:bottom w:type="dxa" w:w="80"/>
              <w:right w:type="dxa" w:w="200"/>
            </w:tcMar>
          </w:tcPr>
          <w:p>
            <w:pPr>
              <w:spacing w:after="40" w:line="260"/>
            </w:pPr>
            <w:r>
              <w:rPr>
                <w:rFonts w:ascii="Courier New" w:cs="Courier New" w:eastAsia="Courier New" w:hAnsi="Courier New"/>
                <w:color w:val="0A1628"/>
                <w:sz w:val="19"/>
                <w:szCs w:val="19"/>
              </w:rPr>
              <w:t xml:space="preserve">x_merged = C( sqrt(x_a · x_b) )     geometric mean, then closure</w:t>
            </w:r>
          </w:p>
        </w:tc>
      </w:tr>
    </w:tbl>
    <w:p>
      <w:pPr>
        <w:spacing w:after="100" w:line="276"/>
      </w:pPr>
      <w:r>
        <w:rPr>
          <w:sz w:val="21"/>
          <w:szCs w:val="21"/>
        </w:rPr>
        <w:t xml:space="preserve">Operates on ratios, consistent with Aitchison geometry. Preserves the log-ratio structure that makes compositional analysis valid in the first place.</w:t>
      </w:r>
    </w:p>
    <w:p>
      <w:pPr>
        <w:pStyle w:val="Heading1"/>
      </w:pPr>
      <w:r>
        <w:t xml:space="preserve">The Invariant</w:t>
      </w:r>
    </w:p>
    <w:p>
      <w:pPr>
        <w:spacing w:after="100" w:line="276"/>
      </w:pPr>
      <w:r>
        <w:rPr>
          <w:sz w:val="21"/>
          <w:szCs w:val="21"/>
        </w:rPr>
        <w:t xml:space="preserve">Shannon entropy measures the effective complexity of a composition: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300"/>
              <w:bottom w:type="dxa" w:w="80"/>
              <w:right w:type="dxa" w:w="200"/>
            </w:tcMar>
          </w:tcPr>
          <w:p>
            <w:pPr>
              <w:spacing w:after="40" w:line="260"/>
            </w:pPr>
            <w:r>
              <w:rPr>
                <w:rFonts w:ascii="Courier New" w:cs="Courier New" w:eastAsia="Courier New" w:hAnsi="Courier New"/>
                <w:color w:val="0A1628"/>
                <w:sz w:val="19"/>
                <w:szCs w:val="19"/>
              </w:rPr>
              <w:t xml:space="preserve">H(x) = -Σ x_i ln(x_i)</w:t>
            </w:r>
          </w:p>
        </w:tc>
      </w:tr>
    </w:tbl>
    <w:p>
      <w:pPr>
        <w:spacing w:after="100" w:line="276"/>
      </w:pPr>
      <w:r>
        <w:rPr>
          <w:sz w:val="21"/>
          <w:szCs w:val="21"/>
        </w:rPr>
        <w:t xml:space="preserve">EITT tests whether H is preserved after decimation. The claim: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0D7377" w:sz="12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line="276"/>
            </w:pPr>
            <w:r>
              <w:rPr>
                <w:i/>
                <w:iCs/>
                <w:color w:val="0A1628"/>
                <w:sz w:val="21"/>
                <w:szCs w:val="21"/>
              </w:rPr>
              <w:t xml:space="preserve">Geometric-mean decimation preserves Shannon entropy within 5%. Arithmetic-mean decimation destroys 20–40% of the entropy, systematically biasing toward uniformity.</w:t>
            </w:r>
          </w:p>
        </w:tc>
      </w:tr>
    </w:tbl>
    <w:p>
      <w:pPr>
        <w:pStyle w:val="Heading1"/>
      </w:pPr>
      <w:r>
        <w:t xml:space="preserve">Empirical Evidence</w:t>
      </w:r>
    </w:p>
    <w:p>
      <w:pPr>
        <w:pStyle w:val="Heading2"/>
      </w:pPr>
      <w:r>
        <w:t xml:space="preserve">Proof 1: European electricity prices</w:t>
      </w:r>
    </w:p>
    <w:p>
      <w:pPr>
        <w:spacing w:after="100" w:line="276"/>
      </w:pPr>
      <w:r>
        <w:rPr>
          <w:sz w:val="21"/>
          <w:szCs w:val="21"/>
        </w:rPr>
        <w:t xml:space="preserve">Daily wholesale prices across 8 countries, compressed 341:1 (daily → annual). Shannon entropy variation: 0.18%. Aitchison variance dropped 55%. Total variation dropped 99.7%. Only entropy survived.</w:t>
      </w:r>
    </w:p>
    <w:p>
      <w:pPr>
        <w:pStyle w:val="Heading2"/>
      </w:pPr>
      <w:r>
        <w:t xml:space="preserve">Proof 2: EMBER monthly generation</w:t>
      </w:r>
    </w:p>
    <w:p>
      <w:pPr>
        <w:spacing w:after="100" w:line="276"/>
      </w:pPr>
      <w:r>
        <w:rPr>
          <w:sz w:val="21"/>
          <w:szCs w:val="21"/>
        </w:rPr>
        <w:t xml:space="preserve">Independent confirmation on 6 countries, 9 fuel types, 12:1 compression (monthly → annual). Mean entropy variation: 1.02%. All countries below 2%.</w:t>
      </w:r>
    </w:p>
    <w:p>
      <w:pPr>
        <w:pStyle w:val="Heading2"/>
      </w:pPr>
      <w:r>
        <w:t xml:space="preserve">Proof 3: NGFS Phase 4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Decimation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Shannon H deviation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Geometric 5yr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mean 1.8%, max 4.7%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PRESERVES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Geometric 10yr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mean 2.3%, max 4.9%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PRESERVES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Arithmetic 5yr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mean 14.2%, max 28.6%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DESTROYS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Arithmetic 10yr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mean 21.7%, max 41.3%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DESTROYS</w:t>
            </w:r>
          </w:p>
        </w:tc>
      </w:tr>
    </w:tbl>
    <w:p>
      <w:pPr>
        <w:pStyle w:val="Heading2"/>
      </w:pPr>
      <w:r>
        <w:t xml:space="preserve">Proof 4: Chemistry (CheMixHub)</w:t>
      </w:r>
    </w:p>
    <w:p>
      <w:pPr>
        <w:spacing w:after="100" w:line="276"/>
      </w:pPr>
      <w:r>
        <w:rPr>
          <w:sz w:val="21"/>
          <w:szCs w:val="21"/>
        </w:rPr>
        <w:t xml:space="preserve">500,000 data points across 7 datasets. Four diagnostic lenses: Shannon, Jensen-corrected, Rényi q=2, Aitchison norm. Interior pass rates 54–82%. Boundary diagnostics map simplex curvature effects at edges.</w:t>
      </w:r>
    </w:p>
    <w:p>
      <w:pPr>
        <w:pStyle w:val="Heading2"/>
      </w:pPr>
      <w:r>
        <w:t xml:space="preserve">Adversarial testing</w:t>
      </w:r>
    </w:p>
    <w:p>
      <w:pPr>
        <w:spacing w:after="100" w:line="276"/>
      </w:pPr>
      <w:r>
        <w:rPr>
          <w:sz w:val="21"/>
          <w:szCs w:val="21"/>
        </w:rPr>
        <w:t xml:space="preserve">17 tests: 10 pass (all real-world data), 7 fail (6 synthetic + 1 borderline real-world). Boundary condition: EITT holds for compositional time series with temporal autocorrelation. It does NOT hold for arbitrary simplex-valued sequences. The failures define the domain of validity.</w:t>
      </w:r>
    </w:p>
    <w:p>
      <w:pPr>
        <w:pStyle w:val="Heading1"/>
      </w:pPr>
      <w:r>
        <w:t xml:space="preserve">Why It Works</w:t>
      </w:r>
    </w:p>
    <w:p>
      <w:pPr>
        <w:spacing w:after="100" w:line="276"/>
      </w:pPr>
      <w:r>
        <w:rPr>
          <w:sz w:val="21"/>
          <w:szCs w:val="21"/>
        </w:rPr>
        <w:t xml:space="preserve">The simplex is a multiplicative space. Aitchison geometry formalises this: the natural operations are perturbation (component-wise multiplication + closure) and powering (component-wise exponentiation + closure). The geometric mean is the Aitchison midpoint between two compositions. The arithmetic mean is not — it pulls compositions toward the centre of the simplex, inflating entropy artificially.</w:t>
      </w:r>
    </w:p>
    <w:p>
      <w:pPr>
        <w:spacing w:after="100" w:line="276"/>
      </w:pPr>
      <w:r>
        <w:rPr>
          <w:sz w:val="21"/>
          <w:szCs w:val="21"/>
        </w:rPr>
        <w:t xml:space="preserve">This is not a numerical curiosity. Any pipeline that aggregates, coarsens, or downsamples compositional data using arithmetic operations introduces systematic bias into every downstream analysis: clustering, regression, PCA, time-series modelling, and monitoring.</w:t>
      </w:r>
    </w:p>
    <w:p>
      <w:pPr>
        <w:pStyle w:val="Heading1"/>
      </w:pPr>
      <w:r>
        <w:t xml:space="preserve">The Implication for Compositional Time Series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0D7377" w:sz="12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line="276"/>
            </w:pPr>
            <w:r>
              <w:rPr>
                <w:i/>
                <w:iCs/>
                <w:color w:val="0A1628"/>
                <w:sz w:val="21"/>
                <w:szCs w:val="21"/>
              </w:rPr>
              <w:t xml:space="preserve">If you monitor a composition over time and need to change temporal resolution — daily to monthly, annual to decadal — the aggregation method determines whether your monitoring protocol produces valid results at the coarser scale. EITT provides the test: does the aggregation preserve entropy? If not, the coarsened time series carries artefacts that can mask or fabricate drift events.</w:t>
            </w:r>
          </w:p>
        </w:tc>
      </w:tr>
    </w:tbl>
    <w:p>
      <w:pPr>
        <w:pBdr>
          <w:top w:val="single" w:color="0D7377" w:sz="4" w:space="8"/>
        </w:pBdr>
        <w:spacing w:after="0" w:before="200"/>
      </w:pPr>
      <w:r>
        <w:rPr>
          <w:b/>
          <w:bCs/>
          <w:color w:val="0A1628"/>
          <w:sz w:val="20"/>
          <w:szCs w:val="20"/>
        </w:rPr>
        <w:t xml:space="preserve">Peter Higgins</w:t>
      </w:r>
      <w:r>
        <w:rPr>
          <w:color w:val="666666"/>
          <w:sz w:val="18"/>
          <w:szCs w:val="18"/>
        </w:rPr>
        <w:t xml:space="preserve">  |  Independent Researcher  |  PeterHiggins@roguewaveaudio.com  |  </w:t>
      </w:r>
      <w:r>
        <w:rPr>
          <w:color w:val="0D7377"/>
          <w:sz w:val="18"/>
          <w:szCs w:val="18"/>
        </w:rPr>
        <w:t xml:space="preserve">github.com/PeterHiggins19/Higgins-Unity-Framework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0A162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0D737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2026-04-13T19:29:31.427Z</dcterms:created>
  <dcterms:modified xsi:type="dcterms:W3CDTF">2026-04-13T19:29:31.427Z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