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color w:val="1E2761"/>
          <w:sz w:val="36"/>
        </w:rPr>
        <w:t>Compositional Monitoring of Energy-Mix Drift on the Simplex</w:t>
      </w:r>
    </w:p>
    <w:p>
      <w:pPr>
        <w:spacing w:after="40"/>
        <w:jc w:val="center"/>
      </w:pPr>
      <w:r>
        <w:rPr>
          <w:rFonts w:ascii="Georgia" w:hAnsi="Georgia"/>
          <w:i/>
          <w:color w:val="065A82"/>
          <w:sz w:val="24"/>
        </w:rPr>
        <w:t>A CoDa Practitioner’s Guide to Temporal Drift Detection</w:t>
      </w:r>
    </w:p>
    <w:p>
      <w:pPr>
        <w:spacing w:before="80" w:after="80"/>
        <w:pBdr>
          <w:bottom w:val="single" w:sz="6" w:color="E8B04B" w:space="1"/>
        </w:pBdr>
      </w:pPr>
    </w:p>
    <w:p>
      <w:pPr>
        <w:spacing w:after="240"/>
        <w:jc w:val="center"/>
      </w:pPr>
      <w:r>
        <w:rPr>
          <w:color w:val="64748B"/>
          <w:sz w:val="20"/>
        </w:rPr>
        <w:t>Peter Higgins  |  Rogue Wave Audio  |  Markham, Ontario, Canada</w:t>
      </w:r>
    </w:p>
    <w:p>
      <w:pPr>
        <w:spacing w:after="160" w:before="360"/>
      </w:pPr>
      <w:r>
        <w:rPr>
          <w:rFonts w:ascii="Georgia" w:hAnsi="Georgia"/>
          <w:b/>
          <w:color w:val="1E2761"/>
          <w:sz w:val="32"/>
        </w:rPr>
        <w:t>For the CoDa Practitioner Working with Time Series</w:t>
      </w:r>
    </w:p>
    <w:p>
      <w:pPr>
        <w:spacing w:after="120"/>
      </w:pPr>
      <w:r>
        <w:rPr>
          <w:color w:val="1E293B"/>
          <w:sz w:val="21"/>
        </w:rPr>
        <w:t>You already think in compositions. You use Aitchison geometry, CLR coordinates, the variation matrix. This handout shows you how to apply those tools to a question that existing monitoring frameworks do not ask: when does the internal balance of a system change, and by how much?</w:t>
      </w:r>
    </w:p>
    <w:p>
      <w:pPr>
        <w:spacing w:after="120"/>
      </w:pPr>
      <w:r>
        <w:rPr>
          <w:color w:val="1E293B"/>
          <w:sz w:val="21"/>
        </w:rPr>
        <w:t>The protocol uses four instruments from your existing toolkit—perturbation difference, Aitchison distance, effective diversity, and self-calibrated drift flagging—to build a compositional monitoring layer. We call it MC-4: Composition Monitoring, the fourth monitoring category alongside magnitude (MC-1), identity (MC-2), and trend (MC-3).</w:t>
      </w:r>
    </w:p>
    <w:p>
      <w:pPr>
        <w:spacing w:after="160" w:before="360"/>
      </w:pPr>
      <w:r>
        <w:rPr>
          <w:rFonts w:ascii="Georgia" w:hAnsi="Georgia"/>
          <w:b/>
          <w:color w:val="1E2761"/>
          <w:sz w:val="32"/>
        </w:rPr>
        <w:t>The Protocol in Four Steps</w:t>
      </w:r>
    </w:p>
    <w:p>
      <w:pPr>
        <w:spacing w:after="120" w:before="280"/>
      </w:pPr>
      <w:r>
        <w:rPr>
          <w:rFonts w:ascii="Georgia" w:hAnsi="Georgia"/>
          <w:b/>
          <w:color w:val="065A82"/>
          <w:sz w:val="26"/>
        </w:rPr>
        <w:t>1. Perturbation Difference Series</w:t>
      </w:r>
    </w:p>
    <w:p>
      <w:pPr>
        <w:spacing w:after="120" w:before="80"/>
      </w:pPr>
      <w:r>
        <w:rPr>
          <w:rFonts w:ascii="Consolas" w:hAnsi="Consolas"/>
          <w:b/>
          <w:color w:val="1E2761"/>
          <w:sz w:val="21"/>
        </w:rPr>
        <w:t>Δ(t) = C( x₁(t+1)/x₁(t), …, x_D(t+1)/x_D(t) )</w:t>
      </w:r>
    </w:p>
    <w:p>
      <w:pPr>
        <w:spacing w:after="120"/>
      </w:pPr>
      <w:r>
        <w:rPr>
          <w:color w:val="1E293B"/>
          <w:sz w:val="21"/>
        </w:rPr>
        <w:t>The compositional ratio between consecutive periods. This is the Aitchison-group analogue of subtraction—it captures what changed in the balance, not just in the totals.</w:t>
      </w:r>
    </w:p>
    <w:p>
      <w:pPr>
        <w:spacing w:after="120" w:before="280"/>
      </w:pPr>
      <w:r>
        <w:rPr>
          <w:rFonts w:ascii="Georgia" w:hAnsi="Georgia"/>
          <w:b/>
          <w:color w:val="065A82"/>
          <w:sz w:val="26"/>
        </w:rPr>
        <w:t>2. Aitchison Distance as Drift Magnitude</w:t>
      </w:r>
    </w:p>
    <w:p>
      <w:pPr>
        <w:spacing w:after="120" w:before="80"/>
      </w:pPr>
      <w:r>
        <w:rPr>
          <w:rFonts w:ascii="Consolas" w:hAnsi="Consolas"/>
          <w:b/>
          <w:color w:val="1E2761"/>
          <w:sz w:val="21"/>
        </w:rPr>
        <w:t>d_A(x, y) = ‖clr(x) − clr(y)‖</w:t>
      </w:r>
    </w:p>
    <w:p>
      <w:pPr>
        <w:spacing w:after="120"/>
      </w:pPr>
      <w:r>
        <w:rPr>
          <w:color w:val="1E293B"/>
          <w:sz w:val="21"/>
        </w:rPr>
        <w:t>The natural metric on the simplex. Each year-to-year perturbation produces a scalar distance. Track this as a time series and you have a drift profile.</w:t>
      </w:r>
    </w:p>
    <w:p>
      <w:pPr>
        <w:spacing w:after="120" w:before="280"/>
      </w:pPr>
      <w:r>
        <w:rPr>
          <w:rFonts w:ascii="Georgia" w:hAnsi="Georgia"/>
          <w:b/>
          <w:color w:val="065A82"/>
          <w:sz w:val="26"/>
        </w:rPr>
        <w:t>3. Self-Calibrated Drift Threshold</w:t>
      </w:r>
    </w:p>
    <w:p>
      <w:pPr>
        <w:spacing w:after="120" w:before="80"/>
      </w:pPr>
      <w:r>
        <w:rPr>
          <w:rFonts w:ascii="Consolas" w:hAnsi="Consolas"/>
          <w:b/>
          <w:color w:val="1E2761"/>
          <w:sz w:val="21"/>
        </w:rPr>
        <w:t>Flag when d_A(t→t+1) &gt; μ + 2σ</w:t>
      </w:r>
    </w:p>
    <w:p>
      <w:pPr>
        <w:spacing w:after="120"/>
      </w:pPr>
      <w:r>
        <w:rPr>
          <w:color w:val="1E293B"/>
          <w:sz w:val="21"/>
        </w:rPr>
        <w:t>The threshold is learned from the system’s own baseline variability. No external parameters are needed. Each country, each domain, each dataset calibrates itself.</w:t>
      </w:r>
    </w:p>
    <w:p>
      <w:pPr>
        <w:spacing w:after="120" w:before="280"/>
      </w:pPr>
      <w:r>
        <w:rPr>
          <w:rFonts w:ascii="Georgia" w:hAnsi="Georgia"/>
          <w:b/>
          <w:color w:val="065A82"/>
          <w:sz w:val="26"/>
        </w:rPr>
        <w:t>4. Effective Diversity Tracking</w:t>
      </w:r>
    </w:p>
    <w:p>
      <w:pPr>
        <w:spacing w:after="120" w:before="80"/>
      </w:pPr>
      <w:r>
        <w:rPr>
          <w:rFonts w:ascii="Consolas" w:hAnsi="Consolas"/>
          <w:b/>
          <w:color w:val="1E2761"/>
          <w:sz w:val="21"/>
        </w:rPr>
        <w:t>N_eff = exp(H(x))</w:t>
      </w:r>
    </w:p>
    <w:p>
      <w:pPr>
        <w:spacing w:after="120"/>
      </w:pPr>
      <w:r>
        <w:rPr>
          <w:color w:val="1E293B"/>
          <w:sz w:val="21"/>
        </w:rPr>
        <w:t>The effective number of carriers. When N_eff rises, the system is diversifying. When it falls, one component is concentrating. Tracked alongside the drift profile, this tells you not just that the balance changed, but whether it became more or less even.</w:t>
      </w:r>
    </w:p>
    <w:p>
      <w:pPr>
        <w:spacing w:after="160" w:before="360"/>
      </w:pPr>
      <w:r>
        <w:rPr>
          <w:rFonts w:ascii="Georgia" w:hAnsi="Georgia"/>
          <w:b/>
          <w:color w:val="1E2761"/>
          <w:sz w:val="32"/>
        </w:rPr>
        <w:t>Empirical Results: EMBER Energy Data</w:t>
      </w:r>
    </w:p>
    <w:p>
      <w:pPr>
        <w:spacing w:after="120"/>
      </w:pPr>
      <w:r>
        <w:rPr>
          <w:color w:val="1E293B"/>
          <w:sz w:val="21"/>
        </w:rPr>
        <w:t>Applied to EMBER Global Electricity Review data (9 carriers, D=9, 2000–2025) for Germany, Japan, and the United Kingdom:</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E2761" w:val="clear"/>
          </w:tcPr>
          <w:p>
            <w:r/>
            <w:r>
              <w:rPr>
                <w:rFonts w:ascii="Calibri" w:hAnsi="Calibri"/>
                <w:b/>
                <w:color w:val="FFFFFF"/>
                <w:sz w:val="19"/>
              </w:rPr>
              <w:t>Metric</w:t>
            </w:r>
          </w:p>
        </w:tc>
        <w:tc>
          <w:tcPr>
            <w:tcW w:type="dxa" w:w="1872"/>
            <w:shd w:fill="1E2761" w:val="clear"/>
          </w:tcPr>
          <w:p>
            <w:r/>
            <w:r>
              <w:rPr>
                <w:rFonts w:ascii="Calibri" w:hAnsi="Calibri"/>
                <w:b/>
                <w:color w:val="FFFFFF"/>
                <w:sz w:val="19"/>
              </w:rPr>
              <w:t>Germany</w:t>
            </w:r>
          </w:p>
        </w:tc>
        <w:tc>
          <w:tcPr>
            <w:tcW w:type="dxa" w:w="1872"/>
            <w:shd w:fill="1E2761" w:val="clear"/>
          </w:tcPr>
          <w:p>
            <w:r/>
            <w:r>
              <w:rPr>
                <w:rFonts w:ascii="Calibri" w:hAnsi="Calibri"/>
                <w:b/>
                <w:color w:val="FFFFFF"/>
                <w:sz w:val="19"/>
              </w:rPr>
              <w:t>Japan</w:t>
            </w:r>
          </w:p>
        </w:tc>
        <w:tc>
          <w:tcPr>
            <w:tcW w:type="dxa" w:w="1872"/>
            <w:shd w:fill="1E2761" w:val="clear"/>
          </w:tcPr>
          <w:p>
            <w:r/>
            <w:r>
              <w:rPr>
                <w:rFonts w:ascii="Calibri" w:hAnsi="Calibri"/>
                <w:b/>
                <w:color w:val="FFFFFF"/>
                <w:sz w:val="19"/>
              </w:rPr>
              <w:t>UK</w:t>
            </w:r>
          </w:p>
        </w:tc>
        <w:tc>
          <w:tcPr>
            <w:tcW w:type="dxa" w:w="2160"/>
            <w:shd w:fill="1E2761" w:val="clear"/>
          </w:tcPr>
          <w:p>
            <w:r/>
            <w:r>
              <w:rPr>
                <w:rFonts w:ascii="Calibri" w:hAnsi="Calibri"/>
                <w:b/>
                <w:color w:val="FFFFFF"/>
                <w:sz w:val="19"/>
              </w:rPr>
              <w:t>Character</w:t>
            </w:r>
          </w:p>
        </w:tc>
      </w:tr>
      <w:tr>
        <w:tc>
          <w:tcPr>
            <w:tcW w:type="dxa" w:w="1728"/>
          </w:tcPr>
          <w:p>
            <w:r/>
            <w:r>
              <w:rPr>
                <w:rFonts w:ascii="Calibri" w:hAnsi="Calibri"/>
                <w:b/>
                <w:color w:val="1E293B"/>
                <w:sz w:val="19"/>
              </w:rPr>
              <w:t>Max d_A</w:t>
            </w:r>
          </w:p>
        </w:tc>
        <w:tc>
          <w:tcPr>
            <w:tcW w:type="dxa" w:w="1872"/>
          </w:tcPr>
          <w:p>
            <w:r/>
            <w:r>
              <w:rPr>
                <w:rFonts w:ascii="Calibri" w:hAnsi="Calibri"/>
                <w:color w:val="1E293B"/>
                <w:sz w:val="19"/>
              </w:rPr>
              <w:t>9.07</w:t>
            </w:r>
          </w:p>
        </w:tc>
        <w:tc>
          <w:tcPr>
            <w:tcW w:type="dxa" w:w="1872"/>
          </w:tcPr>
          <w:p>
            <w:r/>
            <w:r>
              <w:rPr>
                <w:rFonts w:ascii="Calibri" w:hAnsi="Calibri"/>
                <w:color w:val="1E293B"/>
                <w:sz w:val="19"/>
              </w:rPr>
              <w:t>9.05</w:t>
            </w:r>
          </w:p>
        </w:tc>
        <w:tc>
          <w:tcPr>
            <w:tcW w:type="dxa" w:w="1872"/>
          </w:tcPr>
          <w:p>
            <w:r/>
            <w:r>
              <w:rPr>
                <w:rFonts w:ascii="Calibri" w:hAnsi="Calibri"/>
                <w:color w:val="1E293B"/>
                <w:sz w:val="19"/>
              </w:rPr>
              <w:t>3.26</w:t>
            </w:r>
          </w:p>
        </w:tc>
        <w:tc>
          <w:tcPr>
            <w:tcW w:type="dxa" w:w="2160"/>
          </w:tcPr>
          <w:p>
            <w:r/>
            <w:r>
              <w:rPr>
                <w:rFonts w:ascii="Calibri" w:hAnsi="Calibri"/>
                <w:color w:val="1E293B"/>
                <w:sz w:val="19"/>
              </w:rPr>
            </w:r>
          </w:p>
        </w:tc>
      </w:tr>
      <w:tr>
        <w:tc>
          <w:tcPr>
            <w:tcW w:type="dxa" w:w="1728"/>
            <w:shd w:fill="F5F7FA" w:val="clear"/>
          </w:tcPr>
          <w:p>
            <w:r/>
            <w:r>
              <w:rPr>
                <w:rFonts w:ascii="Calibri" w:hAnsi="Calibri"/>
                <w:b/>
                <w:color w:val="1E293B"/>
                <w:sz w:val="19"/>
              </w:rPr>
              <w:t>N_eff trend</w:t>
            </w:r>
          </w:p>
        </w:tc>
        <w:tc>
          <w:tcPr>
            <w:tcW w:type="dxa" w:w="1872"/>
            <w:shd w:fill="F5F7FA" w:val="clear"/>
          </w:tcPr>
          <w:p>
            <w:r/>
            <w:r>
              <w:rPr>
                <w:rFonts w:ascii="Calibri" w:hAnsi="Calibri"/>
                <w:color w:val="1E293B"/>
                <w:sz w:val="19"/>
              </w:rPr>
              <w:t>3.49 → 5.85</w:t>
            </w:r>
          </w:p>
        </w:tc>
        <w:tc>
          <w:tcPr>
            <w:tcW w:type="dxa" w:w="1872"/>
            <w:shd w:fill="F5F7FA" w:val="clear"/>
          </w:tcPr>
          <w:p>
            <w:r/>
            <w:r>
              <w:rPr>
                <w:rFonts w:ascii="Calibri" w:hAnsi="Calibri"/>
                <w:color w:val="1E293B"/>
                <w:sz w:val="19"/>
              </w:rPr>
              <w:t>4.91 → 5.17</w:t>
            </w:r>
          </w:p>
        </w:tc>
        <w:tc>
          <w:tcPr>
            <w:tcW w:type="dxa" w:w="1872"/>
            <w:shd w:fill="F5F7FA" w:val="clear"/>
          </w:tcPr>
          <w:p>
            <w:r/>
            <w:r>
              <w:rPr>
                <w:rFonts w:ascii="Calibri" w:hAnsi="Calibri"/>
                <w:color w:val="1E293B"/>
                <w:sz w:val="19"/>
              </w:rPr>
              <w:t>3.71 → 5.24</w:t>
            </w:r>
          </w:p>
        </w:tc>
        <w:tc>
          <w:tcPr>
            <w:tcW w:type="dxa" w:w="2160"/>
            <w:shd w:fill="F5F7FA" w:val="clear"/>
          </w:tcPr>
          <w:p>
            <w:r/>
            <w:r>
              <w:rPr>
                <w:rFonts w:ascii="Calibri" w:hAnsi="Calibri"/>
                <w:color w:val="1E293B"/>
                <w:sz w:val="19"/>
              </w:rPr>
            </w:r>
          </w:p>
        </w:tc>
      </w:tr>
      <w:tr>
        <w:tc>
          <w:tcPr>
            <w:tcW w:type="dxa" w:w="1728"/>
          </w:tcPr>
          <w:p>
            <w:r/>
            <w:r>
              <w:rPr>
                <w:rFonts w:ascii="Calibri" w:hAnsi="Calibri"/>
                <w:b/>
                <w:color w:val="1E293B"/>
                <w:sz w:val="19"/>
              </w:rPr>
              <w:t>Drift flags</w:t>
            </w:r>
          </w:p>
        </w:tc>
        <w:tc>
          <w:tcPr>
            <w:tcW w:type="dxa" w:w="1872"/>
          </w:tcPr>
          <w:p>
            <w:r/>
            <w:r>
              <w:rPr>
                <w:rFonts w:ascii="Calibri" w:hAnsi="Calibri"/>
                <w:color w:val="1E293B"/>
                <w:sz w:val="19"/>
              </w:rPr>
              <w:t>2 (nuclear exit)</w:t>
            </w:r>
          </w:p>
        </w:tc>
        <w:tc>
          <w:tcPr>
            <w:tcW w:type="dxa" w:w="1872"/>
          </w:tcPr>
          <w:p>
            <w:r/>
            <w:r>
              <w:rPr>
                <w:rFonts w:ascii="Calibri" w:hAnsi="Calibri"/>
                <w:color w:val="1E293B"/>
                <w:sz w:val="19"/>
              </w:rPr>
              <w:t>2 (Fukushima)</w:t>
            </w:r>
          </w:p>
        </w:tc>
        <w:tc>
          <w:tcPr>
            <w:tcW w:type="dxa" w:w="1872"/>
          </w:tcPr>
          <w:p>
            <w:r/>
            <w:r>
              <w:rPr>
                <w:rFonts w:ascii="Calibri" w:hAnsi="Calibri"/>
                <w:color w:val="1E293B"/>
                <w:sz w:val="19"/>
              </w:rPr>
              <w:t>3 (gradual)</w:t>
            </w:r>
          </w:p>
        </w:tc>
        <w:tc>
          <w:tcPr>
            <w:tcW w:type="dxa" w:w="2160"/>
          </w:tcPr>
          <w:p>
            <w:r/>
            <w:r>
              <w:rPr>
                <w:rFonts w:ascii="Calibri" w:hAnsi="Calibri"/>
                <w:color w:val="1E293B"/>
                <w:sz w:val="19"/>
              </w:rPr>
            </w:r>
          </w:p>
        </w:tc>
      </w:tr>
      <w:tr>
        <w:tc>
          <w:tcPr>
            <w:tcW w:type="dxa" w:w="1728"/>
            <w:shd w:fill="F5F7FA" w:val="clear"/>
          </w:tcPr>
          <w:p>
            <w:r/>
            <w:r>
              <w:rPr>
                <w:rFonts w:ascii="Calibri" w:hAnsi="Calibri"/>
                <w:b/>
                <w:color w:val="1E293B"/>
                <w:sz w:val="19"/>
              </w:rPr>
              <w:t>Transition</w:t>
            </w:r>
          </w:p>
        </w:tc>
        <w:tc>
          <w:tcPr>
            <w:tcW w:type="dxa" w:w="1872"/>
            <w:shd w:fill="F5F7FA" w:val="clear"/>
          </w:tcPr>
          <w:p>
            <w:r/>
            <w:r>
              <w:rPr>
                <w:rFonts w:ascii="Calibri" w:hAnsi="Calibri"/>
                <w:color w:val="1E293B"/>
                <w:sz w:val="19"/>
              </w:rPr>
              <w:t>Revolution</w:t>
            </w:r>
          </w:p>
        </w:tc>
        <w:tc>
          <w:tcPr>
            <w:tcW w:type="dxa" w:w="1872"/>
            <w:shd w:fill="F5F7FA" w:val="clear"/>
          </w:tcPr>
          <w:p>
            <w:r/>
            <w:r>
              <w:rPr>
                <w:rFonts w:ascii="Calibri" w:hAnsi="Calibri"/>
                <w:color w:val="1E293B"/>
                <w:sz w:val="19"/>
              </w:rPr>
              <w:t>Shock + stasis</w:t>
            </w:r>
          </w:p>
        </w:tc>
        <w:tc>
          <w:tcPr>
            <w:tcW w:type="dxa" w:w="1872"/>
            <w:shd w:fill="F5F7FA" w:val="clear"/>
          </w:tcPr>
          <w:p>
            <w:r/>
            <w:r>
              <w:rPr>
                <w:rFonts w:ascii="Calibri" w:hAnsi="Calibri"/>
                <w:color w:val="1E293B"/>
                <w:sz w:val="19"/>
              </w:rPr>
              <w:t>Evolution</w:t>
            </w:r>
          </w:p>
        </w:tc>
        <w:tc>
          <w:tcPr>
            <w:tcW w:type="dxa" w:w="2160"/>
            <w:shd w:fill="F5F7FA" w:val="clear"/>
          </w:tcPr>
          <w:p>
            <w:r/>
            <w:r>
              <w:rPr>
                <w:rFonts w:ascii="Calibri" w:hAnsi="Calibri"/>
                <w:color w:val="065A82"/>
                <w:sz w:val="19"/>
              </w:rPr>
              <w:t>Same protocol, three stories</w:t>
            </w:r>
          </w:p>
        </w:tc>
      </w:tr>
    </w:tbl>
    <w:p>
      <w:pPr>
        <w:spacing w:after="120"/>
      </w:pPr>
    </w:p>
    <w:p>
      <w:pPr>
        <w:spacing w:after="120"/>
      </w:pPr>
      <w:r>
        <w:rPr>
          <w:i/>
          <w:color w:val="64748B"/>
          <w:sz w:val="21"/>
        </w:rPr>
        <w:t>Same protocol, same tools, same thresholds. Three different compositional stories emerge.</w:t>
      </w:r>
    </w:p>
    <w:p>
      <w:pPr>
        <w:spacing w:after="160" w:before="360"/>
      </w:pPr>
      <w:r>
        <w:rPr>
          <w:rFonts w:ascii="Georgia" w:hAnsi="Georgia"/>
          <w:b/>
          <w:color w:val="1E2761"/>
          <w:sz w:val="32"/>
        </w:rPr>
        <w:t>The EITT Discovery</w:t>
      </w:r>
    </w:p>
    <w:p>
      <w:pPr>
        <w:spacing w:after="120"/>
      </w:pPr>
      <w:r>
        <w:rPr>
          <w:color w:val="1E293B"/>
          <w:sz w:val="21"/>
        </w:rPr>
        <w:t>While building the monitoring protocol, we found an empirical invariance: Shannon entropy of compositional time series is near-invariant under geometric-mean block decimation.</w:t>
      </w:r>
    </w:p>
    <w:p>
      <w:pPr>
        <w:pStyle w:val="ListBullet"/>
        <w:spacing w:after="80"/>
      </w:pPr>
      <w:r>
        <w:rPr>
          <w:color w:val="1E293B"/>
          <w:sz w:val="21"/>
        </w:rPr>
        <w:t>Proof 1: 0.18% entropy variation across 341:1 compression (daily → annual European electricity)</w:t>
      </w:r>
    </w:p>
    <w:p>
      <w:pPr>
        <w:pStyle w:val="ListBullet"/>
        <w:spacing w:after="80"/>
      </w:pPr>
      <w:r>
        <w:rPr>
          <w:color w:val="1E293B"/>
          <w:sz w:val="21"/>
        </w:rPr>
        <w:t>Proof 2: Mean 1.02% variation, all 6 countries below 2% (monthly → annual EMBER)</w:t>
      </w:r>
    </w:p>
    <w:p>
      <w:pPr>
        <w:pStyle w:val="ListBullet"/>
        <w:spacing w:after="80"/>
      </w:pPr>
      <w:r>
        <w:rPr>
          <w:color w:val="1E293B"/>
          <w:sz w:val="21"/>
        </w:rPr>
        <w:t>Proof 3: All 35 NGFS Phase 4 climate scenarios below 5% (geometric mean)</w:t>
      </w:r>
    </w:p>
    <w:p>
      <w:pPr>
        <w:pStyle w:val="ListBullet"/>
        <w:spacing w:after="80"/>
      </w:pPr>
      <w:r>
        <w:rPr>
          <w:color w:val="1E293B"/>
          <w:sz w:val="21"/>
        </w:rPr>
        <w:t>Proof 4: 500,000 chemical mixture data points, interior compositions pass 54–82%</w:t>
      </w:r>
    </w:p>
    <w:p>
      <w:pPr>
        <w:pStyle w:val="ListBullet"/>
        <w:spacing w:after="80"/>
      </w:pPr>
      <w:r>
        <w:rPr>
          <w:color w:val="1E293B"/>
          <w:sz w:val="21"/>
        </w:rPr>
        <w:t>Proof 5: 40,666 real igneous rocks, 8 oxides, 37/39 TAS classification types pass</w:t>
      </w:r>
    </w:p>
    <w:p>
      <w:pPr>
        <w:spacing w:after="120"/>
      </w:pPr>
      <w:r>
        <w:rPr>
          <w:b/>
          <w:color w:val="1E293B"/>
          <w:sz w:val="21"/>
        </w:rPr>
        <w:t>The headline finding for this community: EITT provides a measurable consequence of using the wrong averaging operation on the simplex.</w:t>
      </w:r>
    </w:p>
    <w:p>
      <w:pPr>
        <w:spacing w:after="120"/>
      </w:pPr>
      <w:r>
        <w:rPr>
          <w:color w:val="1E293B"/>
          <w:sz w:val="21"/>
        </w:rPr>
        <w:t>Geometric mean preserves entropy to within 0.18–1.02%. Arithmetic mean destroys 20–40% of entropy structure (measured on NGFS Phase 4 data: geometric 5-year mean 1.8% vs. arithmetic 5-year mean 14.2%). This is not a theoretical preference—it is a quantifiable information loss.</w:t>
      </w:r>
    </w:p>
    <w:p>
      <w:pPr>
        <w:spacing w:after="120"/>
      </w:pPr>
      <w:r>
        <w:rPr>
          <w:i/>
          <w:color w:val="64748B"/>
          <w:sz w:val="21"/>
        </w:rPr>
        <w:t>Aitchison was right, and now there is a number attached to why.</w:t>
      </w:r>
    </w:p>
    <w:p>
      <w:pPr>
        <w:spacing w:after="160" w:before="360"/>
      </w:pPr>
      <w:r>
        <w:rPr>
          <w:rFonts w:ascii="Georgia" w:hAnsi="Georgia"/>
          <w:b/>
          <w:color w:val="1E2761"/>
          <w:sz w:val="32"/>
        </w:rPr>
        <w:t>Adversarial Testing: Where EITT Fails</w:t>
      </w:r>
    </w:p>
    <w:p>
      <w:pPr>
        <w:spacing w:after="120"/>
      </w:pPr>
      <w:r>
        <w:rPr>
          <w:color w:val="1E293B"/>
          <w:sz w:val="21"/>
        </w:rPr>
        <w:t>17 tests total. 10 real-world pass. 7 designed failures. The boundary is precise: EITT holds when the system has structural persistence (compositions at adjacent time points are similar). It fails for synthetic noise, oscillating extremes, and monotonic drift. We showed both sides on purpose.</w:t>
      </w:r>
    </w:p>
    <w:p>
      <w:pPr>
        <w:spacing w:after="160" w:before="360"/>
      </w:pPr>
      <w:r>
        <w:rPr>
          <w:rFonts w:ascii="Georgia" w:hAnsi="Georgia"/>
          <w:b/>
          <w:color w:val="1E2761"/>
          <w:sz w:val="32"/>
        </w:rPr>
        <w:t>The Falsifiable Claim</w:t>
      </w:r>
    </w:p>
    <w:p>
      <w:pPr>
        <w:spacing w:after="120"/>
      </w:pPr>
      <w:r>
        <w:rPr>
          <w:i/>
          <w:color w:val="64748B"/>
          <w:sz w:val="21"/>
        </w:rPr>
        <w:t>No existing monitoring framework performs compositional change detection at the carrier level with formal perturbation-based drift measurement.</w:t>
      </w:r>
    </w:p>
    <w:p>
      <w:pPr>
        <w:spacing w:after="120"/>
      </w:pPr>
      <w:r>
        <w:rPr>
          <w:color w:val="1E293B"/>
          <w:sz w:val="21"/>
        </w:rPr>
        <w:t>Four defeat conditions—any one disproves the claim:</w:t>
      </w:r>
    </w:p>
    <w:p>
      <w:pPr>
        <w:pStyle w:val="ListBullet"/>
        <w:spacing w:after="80"/>
      </w:pPr>
      <w:r>
        <w:rPr>
          <w:color w:val="1E293B"/>
          <w:sz w:val="21"/>
        </w:rPr>
        <w:t>A published system using the Aitchison metric on energy-mix compositions to detect drift</w:t>
      </w:r>
    </w:p>
    <w:p>
      <w:pPr>
        <w:pStyle w:val="ListBullet"/>
        <w:spacing w:after="80"/>
      </w:pPr>
      <w:r>
        <w:rPr>
          <w:color w:val="1E293B"/>
          <w:sz w:val="21"/>
        </w:rPr>
        <w:t>A published system measuring change as perturbation rather than arithmetic difference</w:t>
      </w:r>
    </w:p>
    <w:p>
      <w:pPr>
        <w:pStyle w:val="ListBullet"/>
        <w:spacing w:after="80"/>
      </w:pPr>
      <w:r>
        <w:rPr>
          <w:color w:val="1E293B"/>
          <w:sz w:val="21"/>
        </w:rPr>
        <w:t>A published system at individual carrier level within the simplex (not aggregated to fossil/clean)</w:t>
      </w:r>
    </w:p>
    <w:p>
      <w:pPr>
        <w:pStyle w:val="ListBullet"/>
        <w:spacing w:after="80"/>
      </w:pPr>
      <w:r>
        <w:rPr>
          <w:color w:val="1E293B"/>
          <w:sz w:val="21"/>
        </w:rPr>
        <w:t>A theoretical proof that CoDa adds no information beyond percentage-based monitoring</w:t>
      </w:r>
    </w:p>
    <w:p>
      <w:pPr>
        <w:spacing w:after="160" w:before="360"/>
      </w:pPr>
      <w:r>
        <w:rPr>
          <w:rFonts w:ascii="Georgia" w:hAnsi="Georgia"/>
          <w:b/>
          <w:color w:val="1E2761"/>
          <w:sz w:val="32"/>
        </w:rPr>
        <w:t>Open Question for This Community</w:t>
      </w:r>
    </w:p>
    <w:p>
      <w:pPr>
        <w:spacing w:after="120"/>
      </w:pPr>
      <w:r>
        <w:rPr>
          <w:color w:val="1E293B"/>
          <w:sz w:val="21"/>
        </w:rPr>
        <w:t>What is the formal relationship between effective diversity N_eff = exp(H) and the Aitchison norm ‖x‖_A = ‖clr(x)‖? Both quantify how “spread” a composition is. They are correlated but not identical. A clean inequality relating them likely involves dimension D.</w:t>
      </w:r>
    </w:p>
    <w:p>
      <w:pPr>
        <w:spacing w:after="120"/>
      </w:pPr>
      <w:r>
        <w:rPr>
          <w:i/>
          <w:color w:val="64748B"/>
          <w:sz w:val="21"/>
        </w:rPr>
        <w:t>We found EITT empirically. We can’t prove it. Can you?</w:t>
      </w:r>
    </w:p>
    <w:p>
      <w:pPr>
        <w:spacing w:after="160" w:before="360"/>
      </w:pPr>
      <w:r>
        <w:rPr>
          <w:rFonts w:ascii="Georgia" w:hAnsi="Georgia"/>
          <w:b/>
          <w:color w:val="1E2761"/>
          <w:sz w:val="32"/>
        </w:rPr>
        <w:t>Where to Go Next</w:t>
      </w:r>
    </w:p>
    <w:p>
      <w:pPr>
        <w:spacing w:after="120"/>
      </w:pPr>
      <w:r>
        <w:rPr>
          <w:color w:val="1E293B"/>
          <w:sz w:val="21"/>
        </w:rPr>
        <w:t>Everything is open, reproducible, and available at:</w:t>
      </w:r>
    </w:p>
    <w:p>
      <w:pPr>
        <w:spacing w:after="120"/>
      </w:pPr>
      <w:r>
        <w:rPr>
          <w:b/>
          <w:color w:val="1E293B"/>
          <w:sz w:val="21"/>
        </w:rPr>
        <w:t>github.com/PeterHiggins19/Higgins-Unity-Framework</w:t>
      </w:r>
    </w:p>
    <w:p>
      <w:pPr>
        <w:spacing w:after="120" w:before="280"/>
      </w:pPr>
      <w:r>
        <w:rPr>
          <w:rFonts w:ascii="Georgia" w:hAnsi="Georgia"/>
          <w:b/>
          <w:color w:val="065A82"/>
          <w:sz w:val="26"/>
        </w:rPr>
        <w:t>Recommended reading path:</w:t>
      </w:r>
    </w:p>
    <w:tbl>
      <w:tblPr>
        <w:tblW w:type="auto" w:w="0"/>
        <w:jc w:val="center"/>
        <w:tblLook w:firstColumn="1" w:firstRow="1" w:lastColumn="0" w:lastRow="0" w:noHBand="0" w:noVBand="1" w:val="04A0"/>
      </w:tblPr>
      <w:tblGrid>
        <w:gridCol w:w="3120"/>
        <w:gridCol w:w="3120"/>
        <w:gridCol w:w="3120"/>
      </w:tblGrid>
      <w:tr>
        <w:tc>
          <w:tcPr>
            <w:tcW w:type="dxa" w:w="1152"/>
            <w:shd w:fill="1E2761" w:val="clear"/>
          </w:tcPr>
          <w:p>
            <w:r/>
            <w:r>
              <w:rPr>
                <w:rFonts w:ascii="Calibri" w:hAnsi="Calibri"/>
                <w:b/>
                <w:color w:val="FFFFFF"/>
                <w:sz w:val="19"/>
              </w:rPr>
              <w:t>Time</w:t>
            </w:r>
          </w:p>
        </w:tc>
        <w:tc>
          <w:tcPr>
            <w:tcW w:type="dxa" w:w="4320"/>
            <w:shd w:fill="1E2761" w:val="clear"/>
          </w:tcPr>
          <w:p>
            <w:r/>
            <w:r>
              <w:rPr>
                <w:rFonts w:ascii="Calibri" w:hAnsi="Calibri"/>
                <w:b/>
                <w:color w:val="FFFFFF"/>
                <w:sz w:val="19"/>
              </w:rPr>
              <w:t>What</w:t>
            </w:r>
          </w:p>
        </w:tc>
        <w:tc>
          <w:tcPr>
            <w:tcW w:type="dxa" w:w="4032"/>
            <w:shd w:fill="1E2761" w:val="clear"/>
          </w:tcPr>
          <w:p>
            <w:r/>
            <w:r>
              <w:rPr>
                <w:rFonts w:ascii="Calibri" w:hAnsi="Calibri"/>
                <w:b/>
                <w:color w:val="FFFFFF"/>
                <w:sz w:val="19"/>
              </w:rPr>
              <w:t>Where in Repo</w:t>
            </w:r>
          </w:p>
        </w:tc>
      </w:tr>
      <w:tr>
        <w:tc>
          <w:tcPr>
            <w:tcW w:type="dxa" w:w="1152"/>
          </w:tcPr>
          <w:p>
            <w:r/>
            <w:r>
              <w:rPr>
                <w:rFonts w:ascii="Calibri" w:hAnsi="Calibri"/>
                <w:color w:val="1E293B"/>
                <w:sz w:val="19"/>
              </w:rPr>
              <w:t>5 min</w:t>
            </w:r>
          </w:p>
        </w:tc>
        <w:tc>
          <w:tcPr>
            <w:tcW w:type="dxa" w:w="4320"/>
          </w:tcPr>
          <w:p>
            <w:r/>
            <w:r>
              <w:rPr>
                <w:rFonts w:ascii="Calibri" w:hAnsi="Calibri"/>
                <w:color w:val="1E293B"/>
                <w:sz w:val="19"/>
              </w:rPr>
              <w:t>Executive summary — the cylinder problem</w:t>
            </w:r>
          </w:p>
        </w:tc>
        <w:tc>
          <w:tcPr>
            <w:tcW w:type="dxa" w:w="4032"/>
          </w:tcPr>
          <w:p>
            <w:r/>
            <w:r>
              <w:rPr>
                <w:rFonts w:ascii="Calibri" w:hAnsi="Calibri"/>
                <w:color w:val="1E293B"/>
                <w:sz w:val="19"/>
              </w:rPr>
              <w:t>science/reference/01_EXECUTIVE_SUMMARY.md</w:t>
            </w:r>
          </w:p>
        </w:tc>
      </w:tr>
      <w:tr>
        <w:tc>
          <w:tcPr>
            <w:tcW w:type="dxa" w:w="1152"/>
            <w:shd w:fill="F5F7FA" w:val="clear"/>
          </w:tcPr>
          <w:p>
            <w:r/>
            <w:r>
              <w:rPr>
                <w:rFonts w:ascii="Calibri" w:hAnsi="Calibri"/>
                <w:color w:val="1E293B"/>
                <w:sz w:val="19"/>
              </w:rPr>
              <w:t>15 min</w:t>
            </w:r>
          </w:p>
        </w:tc>
        <w:tc>
          <w:tcPr>
            <w:tcW w:type="dxa" w:w="4320"/>
            <w:shd w:fill="F5F7FA" w:val="clear"/>
          </w:tcPr>
          <w:p>
            <w:r/>
            <w:r>
              <w:rPr>
                <w:rFonts w:ascii="Calibri" w:hAnsi="Calibri"/>
                <w:color w:val="1E293B"/>
                <w:sz w:val="19"/>
              </w:rPr>
              <w:t>User handbook — fast summary + guided links</w:t>
            </w:r>
          </w:p>
        </w:tc>
        <w:tc>
          <w:tcPr>
            <w:tcW w:type="dxa" w:w="4032"/>
            <w:shd w:fill="F5F7FA" w:val="clear"/>
          </w:tcPr>
          <w:p>
            <w:r/>
            <w:r>
              <w:rPr>
                <w:rFonts w:ascii="Calibri" w:hAnsi="Calibri"/>
                <w:color w:val="1E293B"/>
                <w:sz w:val="19"/>
              </w:rPr>
              <w:t>science/core/HUF_USER_HANDBOOK.md</w:t>
            </w:r>
          </w:p>
        </w:tc>
      </w:tr>
      <w:tr>
        <w:tc>
          <w:tcPr>
            <w:tcW w:type="dxa" w:w="1152"/>
          </w:tcPr>
          <w:p>
            <w:r/>
            <w:r>
              <w:rPr>
                <w:rFonts w:ascii="Calibri" w:hAnsi="Calibri"/>
                <w:color w:val="1E293B"/>
                <w:sz w:val="19"/>
              </w:rPr>
              <w:t>23 pp</w:t>
            </w:r>
          </w:p>
        </w:tc>
        <w:tc>
          <w:tcPr>
            <w:tcW w:type="dxa" w:w="4320"/>
          </w:tcPr>
          <w:p>
            <w:r/>
            <w:r>
              <w:rPr>
                <w:rFonts w:ascii="Calibri" w:hAnsi="Calibri"/>
                <w:color w:val="1E293B"/>
                <w:sz w:val="19"/>
              </w:rPr>
              <w:t>Gold Standard Working Example — 10-step chain</w:t>
            </w:r>
          </w:p>
        </w:tc>
        <w:tc>
          <w:tcPr>
            <w:tcW w:type="dxa" w:w="4032"/>
          </w:tcPr>
          <w:p>
            <w:r/>
            <w:r>
              <w:rPr>
                <w:rFonts w:ascii="Calibri" w:hAnsi="Calibri"/>
                <w:color w:val="1E293B"/>
                <w:sz w:val="19"/>
              </w:rPr>
              <w:t>codawork2026/journals/HIGGINS_Working_Example.pdf</w:t>
            </w:r>
          </w:p>
        </w:tc>
      </w:tr>
      <w:tr>
        <w:tc>
          <w:tcPr>
            <w:tcW w:type="dxa" w:w="1152"/>
            <w:shd w:fill="F5F7FA" w:val="clear"/>
          </w:tcPr>
          <w:p>
            <w:r/>
            <w:r>
              <w:rPr>
                <w:rFonts w:ascii="Calibri" w:hAnsi="Calibri"/>
                <w:color w:val="1E293B"/>
                <w:sz w:val="19"/>
              </w:rPr>
              <w:t>30 min</w:t>
            </w:r>
          </w:p>
        </w:tc>
        <w:tc>
          <w:tcPr>
            <w:tcW w:type="dxa" w:w="4320"/>
            <w:shd w:fill="F5F7FA" w:val="clear"/>
          </w:tcPr>
          <w:p>
            <w:r/>
            <w:r>
              <w:rPr>
                <w:rFonts w:ascii="Calibri" w:hAnsi="Calibri"/>
                <w:color w:val="1E293B"/>
                <w:sz w:val="19"/>
              </w:rPr>
              <w:t>Kill test — 19 documented failure modes</w:t>
            </w:r>
          </w:p>
        </w:tc>
        <w:tc>
          <w:tcPr>
            <w:tcW w:type="dxa" w:w="4032"/>
            <w:shd w:fill="F5F7FA" w:val="clear"/>
          </w:tcPr>
          <w:p>
            <w:r/>
            <w:r>
              <w:rPr>
                <w:rFonts w:ascii="Calibri" w:hAnsi="Calibri"/>
                <w:color w:val="1E293B"/>
                <w:sz w:val="19"/>
              </w:rPr>
              <w:t>huf-gov/governance/</w:t>
            </w:r>
          </w:p>
        </w:tc>
      </w:tr>
      <w:tr>
        <w:tc>
          <w:tcPr>
            <w:tcW w:type="dxa" w:w="1152"/>
          </w:tcPr>
          <w:p>
            <w:r/>
            <w:r>
              <w:rPr>
                <w:rFonts w:ascii="Calibri" w:hAnsi="Calibri"/>
                <w:color w:val="1E293B"/>
                <w:sz w:val="19"/>
              </w:rPr>
              <w:t>Full</w:t>
            </w:r>
          </w:p>
        </w:tc>
        <w:tc>
          <w:tcPr>
            <w:tcW w:type="dxa" w:w="4320"/>
          </w:tcPr>
          <w:p>
            <w:r/>
            <w:r>
              <w:rPr>
                <w:rFonts w:ascii="Calibri" w:hAnsi="Calibri"/>
                <w:color w:val="1E293B"/>
                <w:sz w:val="19"/>
              </w:rPr>
              <w:t>Complete CoDaWork 2026 package</w:t>
            </w:r>
          </w:p>
        </w:tc>
        <w:tc>
          <w:tcPr>
            <w:tcW w:type="dxa" w:w="4032"/>
          </w:tcPr>
          <w:p>
            <w:r/>
            <w:r>
              <w:rPr>
                <w:rFonts w:ascii="Calibri" w:hAnsi="Calibri"/>
                <w:color w:val="1E293B"/>
                <w:sz w:val="19"/>
              </w:rPr>
              <w:t>codawork2026/</w:t>
            </w:r>
          </w:p>
        </w:tc>
      </w:tr>
    </w:tbl>
    <w:p>
      <w:pPr>
        <w:spacing w:after="120"/>
      </w:pPr>
    </w:p>
    <w:p>
      <w:pPr>
        <w:spacing w:before="80" w:after="80"/>
        <w:pBdr>
          <w:bottom w:val="single" w:sz="6" w:color="E8B04B" w:space="1"/>
        </w:pBdr>
      </w:pPr>
    </w:p>
    <w:p>
      <w:pPr>
        <w:spacing w:after="80" w:before="80"/>
        <w:jc w:val="center"/>
      </w:pPr>
      <w:r>
        <w:rPr>
          <w:rFonts w:ascii="Georgia" w:hAnsi="Georgia"/>
          <w:i/>
          <w:color w:val="065A82"/>
          <w:sz w:val="22"/>
        </w:rPr>
        <w:t>Their tools. Their geometry. Our application. Their language.</w:t>
      </w:r>
    </w:p>
    <w:p>
      <w:pPr>
        <w:spacing w:after="80" w:before="80"/>
        <w:jc w:val="center"/>
      </w:pPr>
      <w:r>
        <w:rPr>
          <w:rFonts w:ascii="Calibri" w:hAnsi="Calibri"/>
          <w:color w:val="64748B"/>
          <w:sz w:val="20"/>
        </w:rPr>
        <w:t>Peter Higgins  |  PeterHiggins@roguewaveaudio.com  |  CoDaWork 2026, Coimbra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Higgins Unity Framework  |  CoDaWork 2026  |  github.com/PeterHiggins19/Higgins-Unity-Framework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