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E2761"/>
          <w:sz w:val="36"/>
        </w:rPr>
        <w:t>From Static Compositions to Temporal Monitoring</w:t>
      </w:r>
    </w:p>
    <w:p>
      <w:pPr>
        <w:spacing w:after="40"/>
        <w:jc w:val="center"/>
      </w:pPr>
      <w:r>
        <w:rPr>
          <w:rFonts w:ascii="Georgia" w:hAnsi="Georgia"/>
          <w:i/>
          <w:color w:val="065A82"/>
          <w:sz w:val="24"/>
        </w:rPr>
        <w:t>How EITT Bridges Geochemistry and Compositional Time Series</w:t>
      </w:r>
    </w:p>
    <w:p>
      <w:pPr>
        <w:spacing w:before="80" w:after="80"/>
        <w:pBdr>
          <w:bottom w:val="single" w:sz="6" w:color="E8B04B" w:space="1"/>
        </w:pBdr>
      </w:pPr>
    </w:p>
    <w:p>
      <w:pPr>
        <w:spacing w:after="240"/>
        <w:jc w:val="center"/>
      </w:pPr>
      <w:r>
        <w:rPr>
          <w:color w:val="64748B"/>
          <w:sz w:val="20"/>
        </w:rPr>
        <w:t>Peter Higgins  |  Rogue Wave Audio  |  Markham, Ontario, Canada</w:t>
      </w:r>
    </w:p>
    <w:p>
      <w:pPr>
        <w:spacing w:after="160" w:before="360"/>
      </w:pPr>
      <w:r>
        <w:rPr>
          <w:rFonts w:ascii="Georgia" w:hAnsi="Georgia"/>
          <w:b/>
          <w:color w:val="1E2761"/>
          <w:sz w:val="32"/>
        </w:rPr>
        <w:t>Starting From Familiar Ground</w:t>
      </w:r>
    </w:p>
    <w:p>
      <w:pPr>
        <w:spacing w:after="120"/>
      </w:pPr>
      <w:r>
        <w:rPr>
          <w:color w:val="1E293B"/>
          <w:sz w:val="21"/>
        </w:rPr>
        <w:t>If you work with geochemical compositions—major oxide analyses, TAS classification, igneous differentiation—you already live on the simplex. You know that SiO₂ + TiO₂ + Al₂O₃ + FeOt + MgO + CaO + Na₂O + K₂O must sum to a constant. You work with closure, log-ratios, and the Aitchison geometry every day.</w:t>
      </w:r>
    </w:p>
    <w:p>
      <w:pPr>
        <w:spacing w:after="120"/>
      </w:pPr>
      <w:r>
        <w:rPr>
          <w:color w:val="1E293B"/>
          <w:sz w:val="21"/>
        </w:rPr>
        <w:t>This handout shows how the same tools you use on static rock compositions can be extended to monitor temporal change in any compositional system—and why that extension matters.</w:t>
      </w:r>
    </w:p>
    <w:p>
      <w:pPr>
        <w:spacing w:after="160" w:before="360"/>
      </w:pPr>
      <w:r>
        <w:rPr>
          <w:rFonts w:ascii="Georgia" w:hAnsi="Georgia"/>
          <w:b/>
          <w:color w:val="1E2761"/>
          <w:sz w:val="32"/>
        </w:rPr>
        <w:t>Geochemistry Validation: 40,666 Real Rocks</w:t>
      </w:r>
    </w:p>
    <w:p>
      <w:pPr>
        <w:spacing w:after="120"/>
      </w:pPr>
      <w:r>
        <w:rPr>
          <w:color w:val="1E293B"/>
          <w:sz w:val="21"/>
        </w:rPr>
        <w:t>We tested the Entropy-Invariant Time Transformer (EITT)—an empirical invariance discovered in energy-system data—on real geochemistry to see if the same property holds when compositions come from the Earth rather than the grid.</w:t>
      </w:r>
    </w:p>
    <w:p>
      <w:pPr>
        <w:spacing w:after="120" w:before="280"/>
      </w:pPr>
      <w:r>
        <w:rPr>
          <w:rFonts w:ascii="Georgia" w:hAnsi="Georgia"/>
          <w:b/>
          <w:color w:val="065A82"/>
          <w:sz w:val="26"/>
        </w:rPr>
        <w:t>The Data</w:t>
      </w:r>
    </w:p>
    <w:p>
      <w:pPr>
        <w:pStyle w:val="ListBullet"/>
        <w:spacing w:after="80"/>
      </w:pPr>
      <w:r>
        <w:rPr>
          <w:color w:val="1E293B"/>
          <w:sz w:val="21"/>
        </w:rPr>
        <w:t>Ball 2022 global igneous geochemistry dataset + AGDB3 (Alaska Geochemical Database)</w:t>
      </w:r>
    </w:p>
    <w:p>
      <w:pPr>
        <w:pStyle w:val="ListBullet"/>
        <w:spacing w:after="80"/>
      </w:pPr>
      <w:r>
        <w:rPr>
          <w:color w:val="1E293B"/>
          <w:sz w:val="21"/>
        </w:rPr>
        <w:t>40,666 real igneous rock compositions</w:t>
      </w:r>
    </w:p>
    <w:p>
      <w:pPr>
        <w:pStyle w:val="ListBullet"/>
        <w:spacing w:after="80"/>
      </w:pPr>
      <w:r>
        <w:rPr>
          <w:color w:val="1E293B"/>
          <w:sz w:val="21"/>
        </w:rPr>
        <w:t>8 major oxides: SiO₂, TiO₂, Al₂O₃, FeOt, MgO, CaO, Na₂O, K₂O</w:t>
      </w:r>
    </w:p>
    <w:p>
      <w:pPr>
        <w:pStyle w:val="ListBullet"/>
        <w:spacing w:after="80"/>
      </w:pPr>
      <w:r>
        <w:rPr>
          <w:color w:val="1E293B"/>
          <w:sz w:val="21"/>
        </w:rPr>
        <w:t>39 TAS (Total Alkali-Silica) classification types</w:t>
      </w:r>
    </w:p>
    <w:p>
      <w:pPr>
        <w:spacing w:after="120" w:before="280"/>
      </w:pPr>
      <w:r>
        <w:rPr>
          <w:rFonts w:ascii="Georgia" w:hAnsi="Georgia"/>
          <w:b/>
          <w:color w:val="065A82"/>
          <w:sz w:val="26"/>
        </w:rPr>
        <w:t>The Test</w:t>
      </w:r>
    </w:p>
    <w:p>
      <w:pPr>
        <w:spacing w:after="120"/>
      </w:pPr>
      <w:r>
        <w:rPr>
          <w:color w:val="1E293B"/>
          <w:sz w:val="21"/>
        </w:rPr>
        <w:t>For each TAS type, we ordered compositions by a differentiation proxy (SiO₂/MgO ratio), forming a pseudo-temporal series. We then applied geometric-mean block decimation and measured whether Shannon entropy was preserved.</w:t>
      </w:r>
    </w:p>
    <w:p>
      <w:pPr>
        <w:spacing w:after="120" w:before="280"/>
      </w:pPr>
      <w:r>
        <w:rPr>
          <w:rFonts w:ascii="Georgia" w:hAnsi="Georgia"/>
          <w:b/>
          <w:color w:val="065A82"/>
          <w:sz w:val="26"/>
        </w:rPr>
        <w:t>The Result</w:t>
      </w:r>
    </w:p>
    <w:p>
      <w:pPr>
        <w:spacing w:after="120"/>
      </w:pPr>
      <w:r>
        <w:rPr>
          <w:b/>
          <w:color w:val="1E293B"/>
          <w:sz w:val="21"/>
        </w:rPr>
        <w:t>37 of 39 TAS types pass. Foidite is the sole anomaly.</w:t>
      </w:r>
    </w:p>
    <w:p>
      <w:pPr>
        <w:spacing w:after="120"/>
      </w:pPr>
      <w:r>
        <w:rPr>
          <w:color w:val="1E293B"/>
          <w:sz w:val="21"/>
        </w:rPr>
        <w:t>Foidite (PR=32%) fails because it represents deep mantle phase chaos—compositions jump between radically different mineral assemblages with no smooth progression. The autocorrelation assumption that EITT requires is absent. This is not a limitation of the method—it is the method correctly identifying a domain where the underlying assumption does not hold.</w:t>
      </w:r>
    </w:p>
    <w:p>
      <w:pPr>
        <w:spacing w:after="120"/>
      </w:pPr>
      <w:r>
        <w:rPr>
          <w:i/>
          <w:color w:val="64748B"/>
          <w:sz w:val="21"/>
        </w:rPr>
        <w:t>The tool reads. The geochemist decides whether the reading makes sense for their rocks.</w:t>
      </w:r>
    </w:p>
    <w:p>
      <w:pPr>
        <w:spacing w:after="160" w:before="360"/>
      </w:pPr>
      <w:r>
        <w:rPr>
          <w:rFonts w:ascii="Georgia" w:hAnsi="Georgia"/>
          <w:b/>
          <w:color w:val="1E2761"/>
          <w:sz w:val="32"/>
        </w:rPr>
        <w:t>What This Means for Geochemistry</w:t>
      </w:r>
    </w:p>
    <w:p>
      <w:pPr>
        <w:spacing w:after="120"/>
      </w:pPr>
      <w:r>
        <w:rPr>
          <w:color w:val="1E293B"/>
          <w:sz w:val="21"/>
        </w:rPr>
        <w:t>The geochemistry validation establishes three things:</w:t>
      </w:r>
    </w:p>
    <w:p>
      <w:pPr>
        <w:pStyle w:val="ListBullet"/>
        <w:spacing w:after="80"/>
      </w:pPr>
      <w:r>
        <w:rPr>
          <w:color w:val="1E293B"/>
          <w:sz w:val="21"/>
        </w:rPr>
        <w:t>The EITT invariance is not an artefact of energy data. It holds on rock compositions from an entirely different domain with different dimensionality and different physical processes.</w:t>
      </w:r>
    </w:p>
    <w:p>
      <w:pPr>
        <w:pStyle w:val="ListBullet"/>
        <w:spacing w:after="80"/>
      </w:pPr>
      <w:r>
        <w:rPr>
          <w:color w:val="1E293B"/>
          <w:sz w:val="21"/>
        </w:rPr>
        <w:t>The geometric mean is the correct averaging operation for compositional data—not just theoretically (Aitchison 1982) but measurably. Arithmetic averaging of oxide compositions destroys 20–40% of entropy structure. Every time a geochemistry paper reports mean oxide values using arithmetic averages, structural information is being lost.</w:t>
      </w:r>
    </w:p>
    <w:p>
      <w:pPr>
        <w:pStyle w:val="ListBullet"/>
        <w:spacing w:after="80"/>
      </w:pPr>
      <w:r>
        <w:rPr>
          <w:color w:val="1E293B"/>
          <w:sz w:val="21"/>
        </w:rPr>
        <w:t>The failure boundary is geologically meaningful. Foidite fails because it lacks compositional continuity—a genuine petrological signal, not a statistical artefact.</w:t>
      </w:r>
    </w:p>
    <w:p>
      <w:pPr>
        <w:spacing w:after="160" w:before="360"/>
      </w:pPr>
      <w:r>
        <w:rPr>
          <w:rFonts w:ascii="Georgia" w:hAnsi="Georgia"/>
          <w:b/>
          <w:color w:val="1E2761"/>
          <w:sz w:val="32"/>
        </w:rPr>
        <w:t>The Bridge: From Rocks to Time Series</w:t>
      </w:r>
    </w:p>
    <w:p>
      <w:pPr>
        <w:spacing w:after="120"/>
      </w:pPr>
      <w:r>
        <w:rPr>
          <w:color w:val="1E293B"/>
          <w:sz w:val="21"/>
        </w:rPr>
        <w:t>Your static compositions are cross-sections. But many geological and environmental systems produce compositions that evolve through time: volcanic eruptions, hydrothermal alteration, weathering profiles, sedimentary sequences, groundwater chemistry.</w:t>
      </w:r>
    </w:p>
    <w:p>
      <w:pPr>
        <w:spacing w:after="120"/>
      </w:pPr>
      <w:r>
        <w:rPr>
          <w:color w:val="1E293B"/>
          <w:sz w:val="21"/>
        </w:rPr>
        <w:t>The monitoring protocol presented at CoDaWork 2026 takes the same Aitchison geometry you already use and applies it to the temporal dimension:</w:t>
      </w:r>
    </w:p>
    <w:tbl>
      <w:tblPr>
        <w:tblW w:type="auto" w:w="0"/>
        <w:jc w:val="center"/>
        <w:tblLook w:firstColumn="1" w:firstRow="1" w:lastColumn="0" w:lastRow="0" w:noHBand="0" w:noVBand="1" w:val="04A0"/>
      </w:tblPr>
      <w:tblGrid>
        <w:gridCol w:w="4680"/>
        <w:gridCol w:w="4680"/>
      </w:tblGrid>
      <w:tr>
        <w:tc>
          <w:tcPr>
            <w:tcW w:type="dxa" w:w="4752"/>
            <w:shd w:fill="1E2761" w:val="clear"/>
          </w:tcPr>
          <w:p>
            <w:r/>
            <w:r>
              <w:rPr>
                <w:rFonts w:ascii="Calibri" w:hAnsi="Calibri"/>
                <w:b/>
                <w:color w:val="FFFFFF"/>
                <w:sz w:val="19"/>
              </w:rPr>
              <w:t>What You Already Do (Static)</w:t>
            </w:r>
          </w:p>
        </w:tc>
        <w:tc>
          <w:tcPr>
            <w:tcW w:type="dxa" w:w="4752"/>
            <w:shd w:fill="1E2761" w:val="clear"/>
          </w:tcPr>
          <w:p>
            <w:r/>
            <w:r>
              <w:rPr>
                <w:rFonts w:ascii="Calibri" w:hAnsi="Calibri"/>
                <w:b/>
                <w:color w:val="FFFFFF"/>
                <w:sz w:val="19"/>
              </w:rPr>
              <w:t>What the Protocol Adds (Temporal)</w:t>
            </w:r>
          </w:p>
        </w:tc>
      </w:tr>
      <w:tr>
        <w:tc>
          <w:tcPr>
            <w:tcW w:type="dxa" w:w="4752"/>
          </w:tcPr>
          <w:p>
            <w:r/>
            <w:r>
              <w:rPr>
                <w:rFonts w:ascii="Calibri" w:hAnsi="Calibri"/>
                <w:color w:val="1E293B"/>
                <w:sz w:val="19"/>
              </w:rPr>
              <w:t>Aitchison distance between rock samples</w:t>
            </w:r>
          </w:p>
        </w:tc>
        <w:tc>
          <w:tcPr>
            <w:tcW w:type="dxa" w:w="4752"/>
          </w:tcPr>
          <w:p>
            <w:r/>
            <w:r>
              <w:rPr>
                <w:rFonts w:ascii="Calibri" w:hAnsi="Calibri"/>
                <w:color w:val="1E293B"/>
                <w:sz w:val="19"/>
              </w:rPr>
              <w:t>Aitchison distance between consecutive time periods</w:t>
            </w:r>
          </w:p>
        </w:tc>
      </w:tr>
      <w:tr>
        <w:tc>
          <w:tcPr>
            <w:tcW w:type="dxa" w:w="4752"/>
            <w:shd w:fill="F5F7FA" w:val="clear"/>
          </w:tcPr>
          <w:p>
            <w:r/>
            <w:r>
              <w:rPr>
                <w:rFonts w:ascii="Calibri" w:hAnsi="Calibri"/>
                <w:color w:val="1E293B"/>
                <w:sz w:val="19"/>
              </w:rPr>
              <w:t>Log-ratio transforms (CLR, ILR, ALR)</w:t>
            </w:r>
          </w:p>
        </w:tc>
        <w:tc>
          <w:tcPr>
            <w:tcW w:type="dxa" w:w="4752"/>
            <w:shd w:fill="F5F7FA" w:val="clear"/>
          </w:tcPr>
          <w:p>
            <w:r/>
            <w:r>
              <w:rPr>
                <w:rFonts w:ascii="Calibri" w:hAnsi="Calibri"/>
                <w:color w:val="1E293B"/>
                <w:sz w:val="19"/>
              </w:rPr>
              <w:t>Same transforms applied to time-indexed compositions</w:t>
            </w:r>
          </w:p>
        </w:tc>
      </w:tr>
      <w:tr>
        <w:tc>
          <w:tcPr>
            <w:tcW w:type="dxa" w:w="4752"/>
          </w:tcPr>
          <w:p>
            <w:r/>
            <w:r>
              <w:rPr>
                <w:rFonts w:ascii="Calibri" w:hAnsi="Calibri"/>
                <w:color w:val="1E293B"/>
                <w:sz w:val="19"/>
              </w:rPr>
              <w:t>Variation matrix for a rock suite</w:t>
            </w:r>
          </w:p>
        </w:tc>
        <w:tc>
          <w:tcPr>
            <w:tcW w:type="dxa" w:w="4752"/>
          </w:tcPr>
          <w:p>
            <w:r/>
            <w:r>
              <w:rPr>
                <w:rFonts w:ascii="Calibri" w:hAnsi="Calibri"/>
                <w:color w:val="1E293B"/>
                <w:sz w:val="19"/>
              </w:rPr>
              <w:t>Variation matrix evolving through time</w:t>
            </w:r>
          </w:p>
        </w:tc>
      </w:tr>
      <w:tr>
        <w:tc>
          <w:tcPr>
            <w:tcW w:type="dxa" w:w="4752"/>
            <w:shd w:fill="F5F7FA" w:val="clear"/>
          </w:tcPr>
          <w:p>
            <w:r/>
            <w:r>
              <w:rPr>
                <w:rFonts w:ascii="Calibri" w:hAnsi="Calibri"/>
                <w:color w:val="1E293B"/>
                <w:sz w:val="19"/>
              </w:rPr>
              <w:t>TAS classification (static snapshot)</w:t>
            </w:r>
          </w:p>
        </w:tc>
        <w:tc>
          <w:tcPr>
            <w:tcW w:type="dxa" w:w="4752"/>
            <w:shd w:fill="F5F7FA" w:val="clear"/>
          </w:tcPr>
          <w:p>
            <w:r/>
            <w:r>
              <w:rPr>
                <w:rFonts w:ascii="Calibri" w:hAnsi="Calibri"/>
                <w:color w:val="1E293B"/>
                <w:sz w:val="19"/>
              </w:rPr>
              <w:t>Drift detection (when did the balance change?)</w:t>
            </w:r>
          </w:p>
        </w:tc>
      </w:tr>
      <w:tr>
        <w:tc>
          <w:tcPr>
            <w:tcW w:type="dxa" w:w="4752"/>
          </w:tcPr>
          <w:p>
            <w:r/>
            <w:r>
              <w:rPr>
                <w:rFonts w:ascii="Calibri" w:hAnsi="Calibri"/>
                <w:color w:val="1E293B"/>
                <w:sz w:val="19"/>
              </w:rPr>
              <w:t>Geometric mean of a suite</w:t>
            </w:r>
          </w:p>
        </w:tc>
        <w:tc>
          <w:tcPr>
            <w:tcW w:type="dxa" w:w="4752"/>
          </w:tcPr>
          <w:p>
            <w:r/>
            <w:r>
              <w:rPr>
                <w:rFonts w:ascii="Calibri" w:hAnsi="Calibri"/>
                <w:color w:val="1E293B"/>
                <w:sz w:val="19"/>
              </w:rPr>
              <w:t>Geometric-mean decimation across temporal blocks</w:t>
            </w:r>
          </w:p>
        </w:tc>
      </w:tr>
    </w:tbl>
    <w:p>
      <w:pPr>
        <w:spacing w:after="120"/>
      </w:pPr>
    </w:p>
    <w:p>
      <w:pPr>
        <w:spacing w:after="120"/>
      </w:pPr>
      <w:r>
        <w:rPr>
          <w:color w:val="1E293B"/>
          <w:sz w:val="21"/>
        </w:rPr>
        <w:t>The energy-system results demonstrate this temporal protocol in action:</w:t>
      </w:r>
    </w:p>
    <w:p>
      <w:pPr>
        <w:pStyle w:val="ListBullet"/>
        <w:spacing w:after="80"/>
      </w:pPr>
      <w:r>
        <w:rPr>
          <w:color w:val="1E293B"/>
          <w:sz w:val="21"/>
        </w:rPr>
        <w:t>Germany 2023–2024: d_A = 9.07 — final nuclear shutdown detected as the largest compositional shock in 25 years</w:t>
      </w:r>
    </w:p>
    <w:p>
      <w:pPr>
        <w:pStyle w:val="ListBullet"/>
        <w:spacing w:after="80"/>
      </w:pPr>
      <w:r>
        <w:rPr>
          <w:color w:val="1E293B"/>
          <w:sz w:val="21"/>
        </w:rPr>
        <w:t>Japan 2013–2014: d_A = 9.05 — Fukushima’s compositional impact precisely located (not 2011, the event year, but 2013–2014 when annual data fully absorbed the change)</w:t>
      </w:r>
    </w:p>
    <w:p>
      <w:pPr>
        <w:pStyle w:val="ListBullet"/>
        <w:spacing w:after="80"/>
      </w:pPr>
      <w:r>
        <w:rPr>
          <w:color w:val="1E293B"/>
          <w:sz w:val="21"/>
        </w:rPr>
        <w:t>United Kingdom: three flags (d_A = 2.98, 3.23, 3.26) — gradual evolution rather than shock, detected at each phase transition</w:t>
      </w:r>
    </w:p>
    <w:p>
      <w:pPr>
        <w:spacing w:after="160" w:before="360"/>
      </w:pPr>
      <w:r>
        <w:rPr>
          <w:rFonts w:ascii="Georgia" w:hAnsi="Georgia"/>
          <w:b/>
          <w:color w:val="1E2761"/>
          <w:sz w:val="32"/>
        </w:rPr>
        <w:t>The EITT Discovery</w:t>
      </w:r>
    </w:p>
    <w:p>
      <w:pPr>
        <w:spacing w:after="120"/>
      </w:pPr>
      <w:r>
        <w:rPr>
          <w:color w:val="1E293B"/>
          <w:sz w:val="21"/>
        </w:rPr>
        <w:t>Shannon entropy of compositional time series is empirically near-invariant under geometric-mean block decimation. We found this at 0.18% variation across a 341:1 compression ratio. It replicates across energy systems (6 countries), chemistry (500,000 data points), geochemistry (40,666 rocks), financial ratios, and nuclear binding energy.</w:t>
      </w:r>
    </w:p>
    <w:p>
      <w:pPr>
        <w:spacing w:after="120"/>
      </w:pPr>
      <w:r>
        <w:rPr>
          <w:b/>
          <w:color w:val="1E293B"/>
          <w:sz w:val="21"/>
        </w:rPr>
        <w:t>The critical number for this audience: arithmetic mean destroys 20–40% of entropy structure. Geometric mean preserves it.</w:t>
      </w:r>
    </w:p>
    <w:p>
      <w:pPr>
        <w:spacing w:after="120"/>
      </w:pPr>
      <w:r>
        <w:rPr>
          <w:color w:val="1E293B"/>
          <w:sz w:val="21"/>
        </w:rPr>
        <w:t>This is measurable proof that what the CoDa community has argued theoretically for forty years—that the geometric mean is the correct operation on the simplex—has quantifiable consequences when violated. Your oxide averages, your normalized compositions, your closure operations: they matter not just for algebraic coherence but for information preservation.</w:t>
      </w:r>
    </w:p>
    <w:p>
      <w:pPr>
        <w:spacing w:after="160" w:before="360"/>
      </w:pPr>
      <w:r>
        <w:rPr>
          <w:rFonts w:ascii="Georgia" w:hAnsi="Georgia"/>
          <w:b/>
          <w:color w:val="1E2761"/>
          <w:sz w:val="32"/>
        </w:rPr>
        <w:t>The Complete Experiment Chain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2761" w:val="clear"/>
          </w:tcPr>
          <w:p>
            <w:r/>
            <w:r>
              <w:rPr>
                <w:rFonts w:ascii="Calibri" w:hAnsi="Calibri"/>
                <w:b/>
                <w:color w:val="FFFFFF"/>
                <w:sz w:val="19"/>
              </w:rPr>
              <w:t>Exp</w:t>
            </w:r>
          </w:p>
        </w:tc>
        <w:tc>
          <w:tcPr>
            <w:tcW w:type="dxa" w:w="2880"/>
            <w:shd w:fill="1E2761" w:val="clear"/>
          </w:tcPr>
          <w:p>
            <w:r/>
            <w:r>
              <w:rPr>
                <w:rFonts w:ascii="Calibri" w:hAnsi="Calibri"/>
                <w:b/>
                <w:color w:val="FFFFFF"/>
                <w:sz w:val="19"/>
              </w:rPr>
              <w:t>Domain</w:t>
            </w:r>
          </w:p>
        </w:tc>
        <w:tc>
          <w:tcPr>
            <w:tcW w:type="dxa" w:w="2304"/>
            <w:shd w:fill="1E2761" w:val="clear"/>
          </w:tcPr>
          <w:p>
            <w:r/>
            <w:r>
              <w:rPr>
                <w:rFonts w:ascii="Calibri" w:hAnsi="Calibri"/>
                <w:b/>
                <w:color w:val="FFFFFF"/>
                <w:sz w:val="19"/>
              </w:rPr>
              <w:t>Data</w:t>
            </w:r>
          </w:p>
        </w:tc>
        <w:tc>
          <w:tcPr>
            <w:tcW w:type="dxa" w:w="1440"/>
            <w:shd w:fill="1E2761" w:val="clear"/>
          </w:tcPr>
          <w:p>
            <w:r/>
            <w:r>
              <w:rPr>
                <w:rFonts w:ascii="Calibri" w:hAnsi="Calibri"/>
                <w:b/>
                <w:color w:val="FFFFFF"/>
                <w:sz w:val="19"/>
              </w:rPr>
              <w:t>Result</w:t>
            </w:r>
          </w:p>
        </w:tc>
        <w:tc>
          <w:tcPr>
            <w:tcW w:type="dxa" w:w="1152"/>
            <w:shd w:fill="1E2761" w:val="clear"/>
          </w:tcPr>
          <w:p>
            <w:r/>
            <w:r>
              <w:rPr>
                <w:rFonts w:ascii="Calibri" w:hAnsi="Calibri"/>
                <w:b/>
                <w:color w:val="FFFFFF"/>
                <w:sz w:val="19"/>
              </w:rPr>
              <w:t>Status</w:t>
            </w:r>
          </w:p>
        </w:tc>
      </w:tr>
      <w:tr>
        <w:tc>
          <w:tcPr>
            <w:tcW w:type="dxa" w:w="1152"/>
          </w:tcPr>
          <w:p>
            <w:r/>
            <w:r>
              <w:rPr>
                <w:rFonts w:ascii="Calibri" w:hAnsi="Calibri"/>
                <w:b/>
                <w:color w:val="065A82"/>
                <w:sz w:val="19"/>
              </w:rPr>
              <w:t>EXP-01</w:t>
            </w:r>
          </w:p>
        </w:tc>
        <w:tc>
          <w:tcPr>
            <w:tcW w:type="dxa" w:w="2880"/>
          </w:tcPr>
          <w:p>
            <w:r/>
            <w:r>
              <w:rPr>
                <w:rFonts w:ascii="Calibri" w:hAnsi="Calibri"/>
                <w:color w:val="1E293B"/>
                <w:sz w:val="19"/>
              </w:rPr>
              <w:t>Gold/Silver Ratio</w:t>
            </w:r>
          </w:p>
        </w:tc>
        <w:tc>
          <w:tcPr>
            <w:tcW w:type="dxa" w:w="2304"/>
          </w:tcPr>
          <w:p>
            <w:r/>
            <w:r>
              <w:rPr>
                <w:rFonts w:ascii="Calibri" w:hAnsi="Calibri"/>
                <w:color w:val="1E293B"/>
                <w:sz w:val="19"/>
              </w:rPr>
              <w:t>624 obs, 1688–2026</w:t>
            </w:r>
          </w:p>
        </w:tc>
        <w:tc>
          <w:tcPr>
            <w:tcW w:type="dxa" w:w="1440"/>
          </w:tcPr>
          <w:p>
            <w:r/>
            <w:r>
              <w:rPr>
                <w:rFonts w:ascii="Calibri" w:hAnsi="Calibri"/>
                <w:color w:val="1E293B"/>
                <w:sz w:val="19"/>
              </w:rPr>
              <w:t>PR=97%</w:t>
            </w:r>
          </w:p>
        </w:tc>
        <w:tc>
          <w:tcPr>
            <w:tcW w:type="dxa" w:w="1152"/>
          </w:tcPr>
          <w:p>
            <w:r/>
            <w:r>
              <w:rPr>
                <w:rFonts w:ascii="Calibri" w:hAnsi="Calibri"/>
                <w:b/>
                <w:color w:val="10B981"/>
                <w:sz w:val="19"/>
              </w:rPr>
              <w:t>PASS</w:t>
            </w:r>
          </w:p>
        </w:tc>
      </w:tr>
      <w:tr>
        <w:tc>
          <w:tcPr>
            <w:tcW w:type="dxa" w:w="1152"/>
            <w:shd w:fill="F5F7FA" w:val="clear"/>
          </w:tcPr>
          <w:p>
            <w:r/>
            <w:r>
              <w:rPr>
                <w:rFonts w:ascii="Calibri" w:hAnsi="Calibri"/>
                <w:b/>
                <w:color w:val="065A82"/>
                <w:sz w:val="19"/>
              </w:rPr>
              <w:t>EXP-02</w:t>
            </w:r>
          </w:p>
        </w:tc>
        <w:tc>
          <w:tcPr>
            <w:tcW w:type="dxa" w:w="2880"/>
            <w:shd w:fill="F5F7FA" w:val="clear"/>
          </w:tcPr>
          <w:p>
            <w:r/>
            <w:r>
              <w:rPr>
                <w:rFonts w:ascii="Calibri" w:hAnsi="Calibri"/>
                <w:color w:val="1E293B"/>
                <w:sz w:val="19"/>
              </w:rPr>
              <w:t>US Monthly Electricity</w:t>
            </w:r>
          </w:p>
        </w:tc>
        <w:tc>
          <w:tcPr>
            <w:tcW w:type="dxa" w:w="2304"/>
            <w:shd w:fill="F5F7FA" w:val="clear"/>
          </w:tcPr>
          <w:p>
            <w:r/>
            <w:r>
              <w:rPr>
                <w:rFonts w:ascii="Calibri" w:hAnsi="Calibri"/>
                <w:color w:val="1E293B"/>
                <w:sz w:val="19"/>
              </w:rPr>
              <w:t>302 months</w:t>
            </w:r>
          </w:p>
        </w:tc>
        <w:tc>
          <w:tcPr>
            <w:tcW w:type="dxa" w:w="1440"/>
            <w:shd w:fill="F5F7FA" w:val="clear"/>
          </w:tcPr>
          <w:p>
            <w:r/>
            <w:r>
              <w:rPr>
                <w:rFonts w:ascii="Calibri" w:hAnsi="Calibri"/>
                <w:color w:val="1E293B"/>
                <w:sz w:val="19"/>
              </w:rPr>
              <w:t>PR=94%</w:t>
            </w:r>
          </w:p>
        </w:tc>
        <w:tc>
          <w:tcPr>
            <w:tcW w:type="dxa" w:w="1152"/>
            <w:shd w:fill="F5F7FA" w:val="clear"/>
          </w:tcPr>
          <w:p>
            <w:r/>
            <w:r>
              <w:rPr>
                <w:rFonts w:ascii="Calibri" w:hAnsi="Calibri"/>
                <w:b/>
                <w:color w:val="10B981"/>
                <w:sz w:val="19"/>
              </w:rPr>
              <w:t>PASS</w:t>
            </w:r>
          </w:p>
        </w:tc>
      </w:tr>
      <w:tr>
        <w:tc>
          <w:tcPr>
            <w:tcW w:type="dxa" w:w="1152"/>
          </w:tcPr>
          <w:p>
            <w:r/>
            <w:r>
              <w:rPr>
                <w:rFonts w:ascii="Calibri" w:hAnsi="Calibri"/>
                <w:b/>
                <w:color w:val="065A82"/>
                <w:sz w:val="19"/>
              </w:rPr>
              <w:t>EXP-03</w:t>
            </w:r>
          </w:p>
        </w:tc>
        <w:tc>
          <w:tcPr>
            <w:tcW w:type="dxa" w:w="2880"/>
          </w:tcPr>
          <w:p>
            <w:r/>
            <w:r>
              <w:rPr>
                <w:rFonts w:ascii="Calibri" w:hAnsi="Calibri"/>
                <w:color w:val="1E293B"/>
                <w:sz w:val="19"/>
              </w:rPr>
              <w:t>Uranium-235 Binding</w:t>
            </w:r>
          </w:p>
        </w:tc>
        <w:tc>
          <w:tcPr>
            <w:tcW w:type="dxa" w:w="2304"/>
          </w:tcPr>
          <w:p>
            <w:r/>
            <w:r>
              <w:rPr>
                <w:rFonts w:ascii="Calibri" w:hAnsi="Calibri"/>
                <w:color w:val="1E293B"/>
                <w:sz w:val="19"/>
              </w:rPr>
              <w:t>235 nucleons</w:t>
            </w:r>
          </w:p>
        </w:tc>
        <w:tc>
          <w:tcPr>
            <w:tcW w:type="dxa" w:w="1440"/>
          </w:tcPr>
          <w:p>
            <w:r/>
            <w:r>
              <w:rPr>
                <w:rFonts w:ascii="Calibri" w:hAnsi="Calibri"/>
                <w:color w:val="1E293B"/>
                <w:sz w:val="19"/>
              </w:rPr>
              <w:t>PR=78%</w:t>
            </w:r>
          </w:p>
        </w:tc>
        <w:tc>
          <w:tcPr>
            <w:tcW w:type="dxa" w:w="1152"/>
          </w:tcPr>
          <w:p>
            <w:r/>
            <w:r>
              <w:rPr>
                <w:rFonts w:ascii="Calibri" w:hAnsi="Calibri"/>
                <w:b/>
                <w:color w:val="10B981"/>
                <w:sz w:val="19"/>
              </w:rPr>
              <w:t>PASS</w:t>
            </w:r>
          </w:p>
        </w:tc>
      </w:tr>
      <w:tr>
        <w:tc>
          <w:tcPr>
            <w:tcW w:type="dxa" w:w="1152"/>
            <w:shd w:fill="F5F7FA" w:val="clear"/>
          </w:tcPr>
          <w:p>
            <w:r/>
            <w:r>
              <w:rPr>
                <w:rFonts w:ascii="Calibri" w:hAnsi="Calibri"/>
                <w:b/>
                <w:color w:val="065A82"/>
                <w:sz w:val="19"/>
              </w:rPr>
              <w:t>EXP-04</w:t>
            </w:r>
          </w:p>
        </w:tc>
        <w:tc>
          <w:tcPr>
            <w:tcW w:type="dxa" w:w="2880"/>
            <w:shd w:fill="F5F7FA" w:val="clear"/>
          </w:tcPr>
          <w:p>
            <w:r/>
            <w:r>
              <w:rPr>
                <w:rFonts w:ascii="Calibri" w:hAnsi="Calibri"/>
                <w:color w:val="1E293B"/>
                <w:sz w:val="19"/>
              </w:rPr>
              <w:t>Microphone Valley</w:t>
            </w:r>
          </w:p>
        </w:tc>
        <w:tc>
          <w:tcPr>
            <w:tcW w:type="dxa" w:w="2304"/>
            <w:shd w:fill="F5F7FA" w:val="clear"/>
          </w:tcPr>
          <w:p>
            <w:r/>
            <w:r>
              <w:rPr>
                <w:rFonts w:ascii="Calibri" w:hAnsi="Calibri"/>
                <w:color w:val="1E293B"/>
                <w:sz w:val="19"/>
              </w:rPr>
              <w:t>82 measurements</w:t>
            </w:r>
          </w:p>
        </w:tc>
        <w:tc>
          <w:tcPr>
            <w:tcW w:type="dxa" w:w="1440"/>
            <w:shd w:fill="F5F7FA" w:val="clear"/>
          </w:tcPr>
          <w:p>
            <w:r/>
            <w:r>
              <w:rPr>
                <w:rFonts w:ascii="Calibri" w:hAnsi="Calibri"/>
                <w:color w:val="1E293B"/>
                <w:sz w:val="19"/>
              </w:rPr>
              <w:t>PR=88%</w:t>
            </w:r>
          </w:p>
        </w:tc>
        <w:tc>
          <w:tcPr>
            <w:tcW w:type="dxa" w:w="1152"/>
            <w:shd w:fill="F5F7FA" w:val="clear"/>
          </w:tcPr>
          <w:p>
            <w:r/>
            <w:r>
              <w:rPr>
                <w:rFonts w:ascii="Calibri" w:hAnsi="Calibri"/>
                <w:b/>
                <w:color w:val="10B981"/>
                <w:sz w:val="19"/>
              </w:rPr>
              <w:t>PASS</w:t>
            </w:r>
          </w:p>
        </w:tc>
      </w:tr>
      <w:tr>
        <w:tc>
          <w:tcPr>
            <w:tcW w:type="dxa" w:w="1152"/>
          </w:tcPr>
          <w:p>
            <w:r/>
            <w:r>
              <w:rPr>
                <w:rFonts w:ascii="Calibri" w:hAnsi="Calibri"/>
                <w:b/>
                <w:color w:val="065A82"/>
                <w:sz w:val="19"/>
              </w:rPr>
              <w:t>EXP-05</w:t>
            </w:r>
          </w:p>
        </w:tc>
        <w:tc>
          <w:tcPr>
            <w:tcW w:type="dxa" w:w="2880"/>
          </w:tcPr>
          <w:p>
            <w:r/>
            <w:r>
              <w:rPr>
                <w:rFonts w:ascii="Calibri" w:hAnsi="Calibri"/>
                <w:color w:val="1E293B"/>
                <w:sz w:val="19"/>
              </w:rPr>
              <w:t>Geochemistry (synthetic)</w:t>
            </w:r>
          </w:p>
        </w:tc>
        <w:tc>
          <w:tcPr>
            <w:tcW w:type="dxa" w:w="2304"/>
          </w:tcPr>
          <w:p>
            <w:r/>
            <w:r>
              <w:rPr>
                <w:rFonts w:ascii="Calibri" w:hAnsi="Calibri"/>
                <w:color w:val="1E293B"/>
                <w:sz w:val="19"/>
              </w:rPr>
              <w:t>500 samples</w:t>
            </w:r>
          </w:p>
        </w:tc>
        <w:tc>
          <w:tcPr>
            <w:tcW w:type="dxa" w:w="1440"/>
          </w:tcPr>
          <w:p>
            <w:r/>
            <w:r>
              <w:rPr>
                <w:rFonts w:ascii="Calibri" w:hAnsi="Calibri"/>
                <w:color w:val="1E293B"/>
                <w:sz w:val="19"/>
              </w:rPr>
              <w:t>PR=89–95%</w:t>
            </w:r>
          </w:p>
        </w:tc>
        <w:tc>
          <w:tcPr>
            <w:tcW w:type="dxa" w:w="1152"/>
          </w:tcPr>
          <w:p>
            <w:r/>
            <w:r>
              <w:rPr>
                <w:rFonts w:ascii="Calibri" w:hAnsi="Calibri"/>
                <w:b/>
                <w:color w:val="10B981"/>
                <w:sz w:val="19"/>
              </w:rPr>
              <w:t>PASS</w:t>
            </w:r>
          </w:p>
        </w:tc>
      </w:tr>
      <w:tr>
        <w:tc>
          <w:tcPr>
            <w:tcW w:type="dxa" w:w="1152"/>
            <w:shd w:fill="F5F7FA" w:val="clear"/>
          </w:tcPr>
          <w:p>
            <w:r/>
            <w:r>
              <w:rPr>
                <w:rFonts w:ascii="Calibri" w:hAnsi="Calibri"/>
                <w:b/>
                <w:color w:val="065A82"/>
                <w:sz w:val="19"/>
              </w:rPr>
              <w:t>EXP-05b</w:t>
            </w:r>
          </w:p>
        </w:tc>
        <w:tc>
          <w:tcPr>
            <w:tcW w:type="dxa" w:w="2880"/>
            <w:shd w:fill="F5F7FA" w:val="clear"/>
          </w:tcPr>
          <w:p>
            <w:r/>
            <w:r>
              <w:rPr>
                <w:rFonts w:ascii="Calibri" w:hAnsi="Calibri"/>
                <w:color w:val="1E293B"/>
                <w:sz w:val="19"/>
              </w:rPr>
              <w:t>Geochemistry (40,666 rocks)</w:t>
            </w:r>
          </w:p>
        </w:tc>
        <w:tc>
          <w:tcPr>
            <w:tcW w:type="dxa" w:w="2304"/>
            <w:shd w:fill="F5F7FA" w:val="clear"/>
          </w:tcPr>
          <w:p>
            <w:r/>
            <w:r>
              <w:rPr>
                <w:rFonts w:ascii="Calibri" w:hAnsi="Calibri"/>
                <w:color w:val="1E293B"/>
                <w:sz w:val="19"/>
              </w:rPr>
              <w:t>Ball 2022 + AGDB3</w:t>
            </w:r>
          </w:p>
        </w:tc>
        <w:tc>
          <w:tcPr>
            <w:tcW w:type="dxa" w:w="1440"/>
            <w:shd w:fill="F5F7FA" w:val="clear"/>
          </w:tcPr>
          <w:p>
            <w:r/>
            <w:r>
              <w:rPr>
                <w:rFonts w:ascii="Calibri" w:hAnsi="Calibri"/>
                <w:color w:val="1E293B"/>
                <w:sz w:val="19"/>
              </w:rPr>
              <w:t>37/39 TAS</w:t>
            </w:r>
          </w:p>
        </w:tc>
        <w:tc>
          <w:tcPr>
            <w:tcW w:type="dxa" w:w="1152"/>
            <w:shd w:fill="F5F7FA" w:val="clear"/>
          </w:tcPr>
          <w:p>
            <w:r/>
            <w:r>
              <w:rPr>
                <w:rFonts w:ascii="Calibri" w:hAnsi="Calibri"/>
                <w:b/>
                <w:color w:val="10B981"/>
                <w:sz w:val="19"/>
              </w:rPr>
              <w:t>PASS</w:t>
            </w:r>
          </w:p>
        </w:tc>
      </w:tr>
    </w:tbl>
    <w:p>
      <w:pPr>
        <w:spacing w:after="120"/>
      </w:pPr>
    </w:p>
    <w:p>
      <w:pPr>
        <w:spacing w:after="160" w:before="360"/>
      </w:pPr>
      <w:r>
        <w:rPr>
          <w:rFonts w:ascii="Georgia" w:hAnsi="Georgia"/>
          <w:b/>
          <w:color w:val="1E2761"/>
          <w:sz w:val="32"/>
        </w:rPr>
        <w:t>Where to Go Next</w:t>
      </w:r>
    </w:p>
    <w:p>
      <w:pPr>
        <w:spacing w:after="120"/>
      </w:pPr>
      <w:r>
        <w:rPr>
          <w:color w:val="1E293B"/>
          <w:sz w:val="21"/>
        </w:rPr>
        <w:t>Everything is open, reproducible, and available at:</w:t>
      </w:r>
    </w:p>
    <w:p>
      <w:pPr>
        <w:spacing w:after="120"/>
      </w:pPr>
      <w:r>
        <w:rPr>
          <w:b/>
          <w:color w:val="1E293B"/>
          <w:sz w:val="21"/>
        </w:rPr>
        <w:t>github.com/PeterHiggins19/Higgins-Unity-Framework</w:t>
      </w:r>
    </w:p>
    <w:p>
      <w:pPr>
        <w:spacing w:after="120" w:before="280"/>
      </w:pPr>
      <w:r>
        <w:rPr>
          <w:rFonts w:ascii="Georgia" w:hAnsi="Georgia"/>
          <w:b/>
          <w:color w:val="065A82"/>
          <w:sz w:val="26"/>
        </w:rPr>
        <w:t>Recommended reading path:</w:t>
      </w:r>
    </w:p>
    <w:tbl>
      <w:tblPr>
        <w:tblW w:type="auto" w:w="0"/>
        <w:jc w:val="center"/>
        <w:tblLook w:firstColumn="1" w:firstRow="1" w:lastColumn="0" w:lastRow="0" w:noHBand="0" w:noVBand="1" w:val="04A0"/>
      </w:tblPr>
      <w:tblGrid>
        <w:gridCol w:w="3120"/>
        <w:gridCol w:w="3120"/>
        <w:gridCol w:w="3120"/>
      </w:tblGrid>
      <w:tr>
        <w:tc>
          <w:tcPr>
            <w:tcW w:type="dxa" w:w="1152"/>
            <w:shd w:fill="1E2761" w:val="clear"/>
          </w:tcPr>
          <w:p>
            <w:r/>
            <w:r>
              <w:rPr>
                <w:rFonts w:ascii="Calibri" w:hAnsi="Calibri"/>
                <w:b/>
                <w:color w:val="FFFFFF"/>
                <w:sz w:val="19"/>
              </w:rPr>
              <w:t>Time</w:t>
            </w:r>
          </w:p>
        </w:tc>
        <w:tc>
          <w:tcPr>
            <w:tcW w:type="dxa" w:w="4320"/>
            <w:shd w:fill="1E2761" w:val="clear"/>
          </w:tcPr>
          <w:p>
            <w:r/>
            <w:r>
              <w:rPr>
                <w:rFonts w:ascii="Calibri" w:hAnsi="Calibri"/>
                <w:b/>
                <w:color w:val="FFFFFF"/>
                <w:sz w:val="19"/>
              </w:rPr>
              <w:t>What</w:t>
            </w:r>
          </w:p>
        </w:tc>
        <w:tc>
          <w:tcPr>
            <w:tcW w:type="dxa" w:w="4032"/>
            <w:shd w:fill="1E2761" w:val="clear"/>
          </w:tcPr>
          <w:p>
            <w:r/>
            <w:r>
              <w:rPr>
                <w:rFonts w:ascii="Calibri" w:hAnsi="Calibri"/>
                <w:b/>
                <w:color w:val="FFFFFF"/>
                <w:sz w:val="19"/>
              </w:rPr>
              <w:t>Where in Repo</w:t>
            </w:r>
          </w:p>
        </w:tc>
      </w:tr>
      <w:tr>
        <w:tc>
          <w:tcPr>
            <w:tcW w:type="dxa" w:w="1152"/>
          </w:tcPr>
          <w:p>
            <w:r/>
            <w:r>
              <w:rPr>
                <w:rFonts w:ascii="Calibri" w:hAnsi="Calibri"/>
                <w:color w:val="1E293B"/>
                <w:sz w:val="19"/>
              </w:rPr>
              <w:t>5 min</w:t>
            </w:r>
          </w:p>
        </w:tc>
        <w:tc>
          <w:tcPr>
            <w:tcW w:type="dxa" w:w="4320"/>
          </w:tcPr>
          <w:p>
            <w:r/>
            <w:r>
              <w:rPr>
                <w:rFonts w:ascii="Calibri" w:hAnsi="Calibri"/>
                <w:color w:val="1E293B"/>
                <w:sz w:val="19"/>
              </w:rPr>
              <w:t>Executive summary — the cylinder problem</w:t>
            </w:r>
          </w:p>
        </w:tc>
        <w:tc>
          <w:tcPr>
            <w:tcW w:type="dxa" w:w="4032"/>
          </w:tcPr>
          <w:p>
            <w:r/>
            <w:r>
              <w:rPr>
                <w:rFonts w:ascii="Calibri" w:hAnsi="Calibri"/>
                <w:color w:val="1E293B"/>
                <w:sz w:val="19"/>
              </w:rPr>
              <w:t>science/reference/01_EXECUTIVE_SUMMARY.md</w:t>
            </w:r>
          </w:p>
        </w:tc>
      </w:tr>
      <w:tr>
        <w:tc>
          <w:tcPr>
            <w:tcW w:type="dxa" w:w="1152"/>
            <w:shd w:fill="F5F7FA" w:val="clear"/>
          </w:tcPr>
          <w:p>
            <w:r/>
            <w:r>
              <w:rPr>
                <w:rFonts w:ascii="Calibri" w:hAnsi="Calibri"/>
                <w:color w:val="1E293B"/>
                <w:sz w:val="19"/>
              </w:rPr>
              <w:t>29 pp</w:t>
            </w:r>
          </w:p>
        </w:tc>
        <w:tc>
          <w:tcPr>
            <w:tcW w:type="dxa" w:w="4320"/>
            <w:shd w:fill="F5F7FA" w:val="clear"/>
          </w:tcPr>
          <w:p>
            <w:r/>
            <w:r>
              <w:rPr>
                <w:rFonts w:ascii="Calibri" w:hAnsi="Calibri"/>
                <w:color w:val="1E293B"/>
                <w:sz w:val="19"/>
              </w:rPr>
              <w:t>Geochemistry EITT validation (your domain)</w:t>
            </w:r>
          </w:p>
        </w:tc>
        <w:tc>
          <w:tcPr>
            <w:tcW w:type="dxa" w:w="4032"/>
            <w:shd w:fill="F5F7FA" w:val="clear"/>
          </w:tcPr>
          <w:p>
            <w:r/>
            <w:r>
              <w:rPr>
                <w:rFonts w:ascii="Calibri" w:hAnsi="Calibri"/>
                <w:color w:val="1E293B"/>
                <w:sz w:val="19"/>
              </w:rPr>
              <w:t>codawork2026/journals/HIGGINS_Geochemistry_EITT.pdf</w:t>
            </w:r>
          </w:p>
        </w:tc>
      </w:tr>
      <w:tr>
        <w:tc>
          <w:tcPr>
            <w:tcW w:type="dxa" w:w="1152"/>
          </w:tcPr>
          <w:p>
            <w:r/>
            <w:r>
              <w:rPr>
                <w:rFonts w:ascii="Calibri" w:hAnsi="Calibri"/>
                <w:color w:val="1E293B"/>
                <w:sz w:val="19"/>
              </w:rPr>
              <w:t>23 pp</w:t>
            </w:r>
          </w:p>
        </w:tc>
        <w:tc>
          <w:tcPr>
            <w:tcW w:type="dxa" w:w="4320"/>
          </w:tcPr>
          <w:p>
            <w:r/>
            <w:r>
              <w:rPr>
                <w:rFonts w:ascii="Calibri" w:hAnsi="Calibri"/>
                <w:color w:val="1E293B"/>
                <w:sz w:val="19"/>
              </w:rPr>
              <w:t>Gold Standard Working Example — 10-step chain</w:t>
            </w:r>
          </w:p>
        </w:tc>
        <w:tc>
          <w:tcPr>
            <w:tcW w:type="dxa" w:w="4032"/>
          </w:tcPr>
          <w:p>
            <w:r/>
            <w:r>
              <w:rPr>
                <w:rFonts w:ascii="Calibri" w:hAnsi="Calibri"/>
                <w:color w:val="1E293B"/>
                <w:sz w:val="19"/>
              </w:rPr>
              <w:t>codawork2026/journals/HIGGINS_Working_Example.pdf</w:t>
            </w:r>
          </w:p>
        </w:tc>
      </w:tr>
      <w:tr>
        <w:tc>
          <w:tcPr>
            <w:tcW w:type="dxa" w:w="1152"/>
            <w:shd w:fill="F5F7FA" w:val="clear"/>
          </w:tcPr>
          <w:p>
            <w:r/>
            <w:r>
              <w:rPr>
                <w:rFonts w:ascii="Calibri" w:hAnsi="Calibri"/>
                <w:color w:val="1E293B"/>
                <w:sz w:val="19"/>
              </w:rPr>
              <w:t>15 min</w:t>
            </w:r>
          </w:p>
        </w:tc>
        <w:tc>
          <w:tcPr>
            <w:tcW w:type="dxa" w:w="4320"/>
            <w:shd w:fill="F5F7FA" w:val="clear"/>
          </w:tcPr>
          <w:p>
            <w:r/>
            <w:r>
              <w:rPr>
                <w:rFonts w:ascii="Calibri" w:hAnsi="Calibri"/>
                <w:color w:val="1E293B"/>
                <w:sz w:val="19"/>
              </w:rPr>
              <w:t>User handbook — fast summary + guided links</w:t>
            </w:r>
          </w:p>
        </w:tc>
        <w:tc>
          <w:tcPr>
            <w:tcW w:type="dxa" w:w="4032"/>
            <w:shd w:fill="F5F7FA" w:val="clear"/>
          </w:tcPr>
          <w:p>
            <w:r/>
            <w:r>
              <w:rPr>
                <w:rFonts w:ascii="Calibri" w:hAnsi="Calibri"/>
                <w:color w:val="1E293B"/>
                <w:sz w:val="19"/>
              </w:rPr>
              <w:t>science/core/HUF_USER_HANDBOOK.md</w:t>
            </w:r>
          </w:p>
        </w:tc>
      </w:tr>
      <w:tr>
        <w:tc>
          <w:tcPr>
            <w:tcW w:type="dxa" w:w="1152"/>
          </w:tcPr>
          <w:p>
            <w:r/>
            <w:r>
              <w:rPr>
                <w:rFonts w:ascii="Calibri" w:hAnsi="Calibri"/>
                <w:color w:val="1E293B"/>
                <w:sz w:val="19"/>
              </w:rPr>
              <w:t>Full</w:t>
            </w:r>
          </w:p>
        </w:tc>
        <w:tc>
          <w:tcPr>
            <w:tcW w:type="dxa" w:w="4320"/>
          </w:tcPr>
          <w:p>
            <w:r/>
            <w:r>
              <w:rPr>
                <w:rFonts w:ascii="Calibri" w:hAnsi="Calibri"/>
                <w:color w:val="1E293B"/>
                <w:sz w:val="19"/>
              </w:rPr>
              <w:t>Complete CoDaWork 2026 package</w:t>
            </w:r>
          </w:p>
        </w:tc>
        <w:tc>
          <w:tcPr>
            <w:tcW w:type="dxa" w:w="4032"/>
          </w:tcPr>
          <w:p>
            <w:r/>
            <w:r>
              <w:rPr>
                <w:rFonts w:ascii="Calibri" w:hAnsi="Calibri"/>
                <w:color w:val="1E293B"/>
                <w:sz w:val="19"/>
              </w:rPr>
              <w:t>codawork2026/</w:t>
            </w:r>
          </w:p>
        </w:tc>
      </w:tr>
    </w:tbl>
    <w:p>
      <w:pPr>
        <w:spacing w:after="120"/>
      </w:pPr>
    </w:p>
    <w:p>
      <w:pPr>
        <w:spacing w:before="80" w:after="80"/>
        <w:pBdr>
          <w:bottom w:val="single" w:sz="6" w:color="E8B04B" w:space="1"/>
        </w:pBdr>
      </w:pPr>
    </w:p>
    <w:p>
      <w:pPr>
        <w:spacing w:after="80" w:before="80"/>
        <w:jc w:val="center"/>
      </w:pPr>
      <w:r>
        <w:rPr>
          <w:rFonts w:ascii="Georgia" w:hAnsi="Georgia"/>
          <w:i/>
          <w:color w:val="065A82"/>
          <w:sz w:val="22"/>
        </w:rPr>
        <w:t>The simplex is the same everywhere. Compositions have their own geometry, and that geometry has consequences.</w:t>
      </w:r>
    </w:p>
    <w:p>
      <w:pPr>
        <w:spacing w:after="80" w:before="80"/>
        <w:jc w:val="center"/>
      </w:pPr>
      <w:r>
        <w:rPr>
          <w:rFonts w:ascii="Georgia" w:hAnsi="Georgia"/>
          <w:i/>
          <w:color w:val="1E2761"/>
          <w:sz w:val="22"/>
        </w:rPr>
        <w:t>We found this empirically. We can’t prove it. Can you?</w:t>
      </w:r>
    </w:p>
    <w:p>
      <w:pPr>
        <w:spacing w:after="80" w:before="80"/>
        <w:jc w:val="center"/>
      </w:pPr>
      <w:r>
        <w:rPr>
          <w:rFonts w:ascii="Calibri" w:hAnsi="Calibri"/>
          <w:color w:val="64748B"/>
          <w:sz w:val="20"/>
        </w:rPr>
        <w:t>Peter Higgins  |  PeterHiggins@roguewaveaudio.com  |  CoDaWork 2026, Coimbra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Higgins Unity Framework  |  CoDaWork 2026  |  github.com/PeterHiggins19/Higgins-Unity-Framework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