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2"/>
          <w:szCs w:val="32"/>
        </w:rPr>
        <w:t xml:space="preserve">Compositional Monitoring of Energy-Mix Drift on the Simplex</w:t>
      </w:r>
    </w:p>
    <w:p>
      <w:pPr>
        <w:spacing w:after="40"/>
        <w:jc w:val="center"/>
      </w:pPr>
      <w:r>
        <w:rPr>
          <w:rFonts w:ascii="Arial" w:cs="Arial" w:eastAsia="Arial" w:hAnsi="Arial"/>
          <w:color w:val="2E75B6"/>
          <w:sz w:val="24"/>
          <w:szCs w:val="24"/>
        </w:rPr>
        <w:t xml:space="preserve">Extended Results and Protocol Documentation</w:t>
      </w:r>
    </w:p>
    <w:p>
      <w:pPr>
        <w:spacing w:after="40"/>
        <w:jc w:val="center"/>
      </w:pPr>
      <w:r>
        <w:rPr>
          <w:rFonts w:ascii="Arial" w:cs="Arial" w:eastAsia="Arial" w:hAnsi="Arial"/>
          <w:b/>
          <w:bCs/>
          <w:sz w:val="24"/>
          <w:szCs w:val="24"/>
        </w:rPr>
        <w:t xml:space="preserve">Peter Higgins</w:t>
      </w:r>
    </w:p>
    <w:p>
      <w:pPr>
        <w:spacing w:after="40"/>
        <w:jc w:val="center"/>
      </w:pPr>
      <w:r>
        <w:rPr>
          <w:rFonts w:ascii="Arial" w:cs="Arial" w:eastAsia="Arial" w:hAnsi="Arial"/>
          <w:i/>
          <w:iCs/>
          <w:sz w:val="22"/>
          <w:szCs w:val="22"/>
        </w:rPr>
        <w:t xml:space="preserve">Independent researcher, Markham, Ontario, Canada</w:t>
      </w:r>
    </w:p>
    <w:p>
      <w:pPr>
        <w:spacing w:after="40"/>
        <w:jc w:val="center"/>
      </w:pPr>
      <w:r>
        <w:rPr>
          <w:rFonts w:ascii="Arial" w:cs="Arial" w:eastAsia="Arial" w:hAnsi="Arial"/>
          <w:sz w:val="22"/>
          <w:szCs w:val="22"/>
        </w:rPr>
        <w:t xml:space="preserve">PeterHiggins@roguewaveaudio.com</w:t>
      </w:r>
    </w:p>
    <w:p>
      <w:pPr>
        <w:spacing w:after="200"/>
        <w:jc w:val="center"/>
      </w:pPr>
      <w:r>
        <w:rPr>
          <w:rFonts w:ascii="Arial" w:cs="Arial" w:eastAsia="Arial" w:hAnsi="Arial"/>
          <w:i/>
          <w:iCs/>
          <w:sz w:val="22"/>
          <w:szCs w:val="22"/>
        </w:rPr>
        <w:t xml:space="preserve">CoDaWork 2026 — 11th International Workshop on Compositional Data Analysis</w:t>
      </w:r>
    </w:p>
    <w:p>
      <w:pPr>
        <w:spacing w:after="40"/>
        <w:jc w:val="center"/>
      </w:pPr>
      <w:r>
        <w:rPr>
          <w:rFonts w:ascii="Arial" w:cs="Arial" w:eastAsia="Arial" w:hAnsi="Arial"/>
          <w:i/>
          <w:iCs/>
          <w:sz w:val="22"/>
          <w:szCs w:val="22"/>
        </w:rPr>
        <w:t xml:space="preserve">1–5 June 2026, Coimbra, Portugal</w:t>
      </w:r>
    </w:p>
    <w:p>
      <w:pPr>
        <w:pStyle w:val="Heading1"/>
        <w:spacing w:after="120" w:before="240"/>
      </w:pPr>
      <w:r>
        <w:rPr>
          <w:rFonts w:ascii="Arial" w:cs="Arial" w:eastAsia="Arial" w:hAnsi="Arial"/>
          <w:b/>
          <w:bCs/>
          <w:color w:val="1F4E79"/>
          <w:sz w:val="28"/>
          <w:szCs w:val="28"/>
        </w:rPr>
        <w:t xml:space="preserve">Abstract</w:t>
      </w:r>
    </w:p>
    <w:p>
      <w:pPr>
        <w:spacing w:after="120" w:line="276"/>
        <w:jc w:val="both"/>
      </w:pPr>
      <w:r>
        <w:rPr>
          <w:rFonts w:ascii="Arial" w:cs="Arial" w:eastAsia="Arial" w:hAnsi="Arial"/>
          <w:sz w:val="22"/>
          <w:szCs w:val="22"/>
        </w:rPr>
        <w:t xml:space="preserve">This contribution proposes a monitoring protocol that treats energy-generation portfolios as compositional data and detects structural drift using tools from compositional data analysis. Each reporting period produces a composition in the simplex, representing the proportional share of electricity generated by each carrier (coal, gas, nuclear, hydro, solar, wind, and others). Change between periods is measured as </w:t>
      </w:r>
      <w:r>
        <w:rPr>
          <w:rFonts w:ascii="Arial" w:cs="Arial" w:eastAsia="Arial" w:hAnsi="Arial"/>
          <w:i/>
          <w:iCs/>
          <w:sz w:val="22"/>
          <w:szCs w:val="22"/>
        </w:rPr>
        <w:t xml:space="preserve">perturbation</w:t>
      </w:r>
      <w:r>
        <w:rPr>
          <w:rFonts w:ascii="Arial" w:cs="Arial" w:eastAsia="Arial" w:hAnsi="Arial"/>
          <w:sz w:val="22"/>
          <w:szCs w:val="22"/>
        </w:rPr>
        <w:t xml:space="preserve"> — the compositional ratio between consecutive observations — rather than arithmetic difference, consistent with the Aitchison geometry of the sample space. The magnitude of period-to-period change is quantified using the </w:t>
      </w:r>
      <w:r>
        <w:rPr>
          <w:rFonts w:ascii="Arial" w:cs="Arial" w:eastAsia="Arial" w:hAnsi="Arial"/>
          <w:i/>
          <w:iCs/>
          <w:sz w:val="22"/>
          <w:szCs w:val="22"/>
        </w:rPr>
        <w:t xml:space="preserve">Aitchison distance</w:t>
      </w:r>
      <w:r>
        <w:rPr>
          <w:rFonts w:ascii="Arial" w:cs="Arial" w:eastAsia="Arial" w:hAnsi="Arial"/>
          <w:sz w:val="22"/>
          <w:szCs w:val="22"/>
        </w:rPr>
        <w:t xml:space="preserve">. The protocol is applied to publicly available electricity generation data from EMBER (CC BY 4.0) for Germany, Japan, and the United Kingdom over the period 2000–2025, with nine carrier types forming compositions on the 8-simplex. A </w:t>
      </w:r>
      <w:r>
        <w:rPr>
          <w:rFonts w:ascii="Arial" w:cs="Arial" w:eastAsia="Arial" w:hAnsi="Arial"/>
          <w:i/>
          <w:iCs/>
          <w:sz w:val="22"/>
          <w:szCs w:val="22"/>
        </w:rPr>
        <w:t xml:space="preserve">concentration measure</w:t>
      </w:r>
      <w:r>
        <w:rPr>
          <w:rFonts w:ascii="Arial" w:cs="Arial" w:eastAsia="Arial" w:hAnsi="Arial"/>
          <w:sz w:val="22"/>
          <w:szCs w:val="22"/>
        </w:rPr>
        <w:t xml:space="preserve"> related to effective diversity is computed alongside the compositional trajectory. The central claim is that no existing monitoring framework performs compositional change detection at the carrier level with formal perturbation-based drift measurement. This claim is presented as falsifiable: the contribution identifies four specific ways it could be defeated. All data, code, and documentation are publicly available.</w:t>
      </w:r>
    </w:p>
    <w:p>
      <w:pPr>
        <w:spacing w:after="120" w:line="276"/>
        <w:jc w:val="both"/>
      </w:pPr>
      <w:r>
        <w:rPr>
          <w:rFonts w:ascii="Arial" w:cs="Arial" w:eastAsia="Arial" w:hAnsi="Arial"/>
          <w:b/>
          <w:bCs/>
          <w:sz w:val="22"/>
          <w:szCs w:val="22"/>
        </w:rPr>
        <w:t xml:space="preserve">Keywords: </w:t>
      </w:r>
      <w:r>
        <w:rPr>
          <w:rFonts w:ascii="Arial" w:cs="Arial" w:eastAsia="Arial" w:hAnsi="Arial"/>
          <w:i/>
          <w:iCs/>
          <w:sz w:val="22"/>
          <w:szCs w:val="22"/>
        </w:rPr>
        <w:t xml:space="preserve">compositional time series, perturbation, Aitchison distance, drift detection, energy mix, effective diversity</w:t>
      </w:r>
    </w:p>
    <w:p>
      <w:pPr>
        <w:pStyle w:val="Heading1"/>
        <w:spacing w:after="120" w:before="240"/>
      </w:pPr>
      <w:r>
        <w:rPr>
          <w:rFonts w:ascii="Arial" w:cs="Arial" w:eastAsia="Arial" w:hAnsi="Arial"/>
          <w:b/>
          <w:bCs/>
          <w:color w:val="1F4E79"/>
          <w:sz w:val="28"/>
          <w:szCs w:val="28"/>
        </w:rPr>
        <w:t xml:space="preserve">1. Introduction</w:t>
      </w:r>
    </w:p>
    <w:p>
      <w:pPr>
        <w:spacing w:after="120" w:line="276"/>
        <w:jc w:val="both"/>
      </w:pPr>
      <w:r>
        <w:rPr>
          <w:rFonts w:ascii="Arial" w:cs="Arial" w:eastAsia="Arial" w:hAnsi="Arial"/>
          <w:sz w:val="22"/>
          <w:szCs w:val="22"/>
        </w:rPr>
        <w:t xml:space="preserve">Monitoring frameworks in the environmental and governance literature typically compare observed values against external thresholds or conceptual models. When tracking how the proportional allocation of a finite system evolves over time, none operate natively on compositions using the geometric structure of the simplex. This paper fills that gap.</w:t>
      </w:r>
    </w:p>
    <w:p>
      <w:pPr>
        <w:spacing w:after="120" w:line="276"/>
        <w:jc w:val="both"/>
      </w:pPr>
      <w:r>
        <w:rPr>
          <w:rFonts w:ascii="Arial" w:cs="Arial" w:eastAsia="Arial" w:hAnsi="Arial"/>
          <w:sz w:val="22"/>
          <w:szCs w:val="22"/>
        </w:rPr>
        <w:t xml:space="preserve">The energy mix of a country — the proportional share of total electricity generation attributable to each carrier (coal, gas, nuclear, hydro, solar, wind, bioenergy, other fossil, other renewables) — is inherently compositional. The shares sum to unity and carry only relative information. Standard arithmetic operations (differences, means, correlations) applied to such data are known to produce spurious results due to the </w:t>
      </w:r>
      <w:r>
        <w:rPr>
          <w:rFonts w:ascii="Arial" w:cs="Arial" w:eastAsia="Arial" w:hAnsi="Arial"/>
          <w:i/>
          <w:iCs/>
          <w:sz w:val="22"/>
          <w:szCs w:val="22"/>
        </w:rPr>
        <w:t xml:space="preserve">constant-sum constraint</w:t>
      </w:r>
      <w:r>
        <w:rPr>
          <w:rFonts w:ascii="Arial" w:cs="Arial" w:eastAsia="Arial" w:hAnsi="Arial"/>
          <w:sz w:val="22"/>
          <w:szCs w:val="22"/>
        </w:rPr>
        <w:t xml:space="preserve"> [1, 2]. Aitchison’s geometry of the simplex provides a mathematically rigorous alternative [3].</w:t>
      </w:r>
    </w:p>
    <w:p>
      <w:pPr>
        <w:spacing w:after="120" w:line="276"/>
        <w:jc w:val="both"/>
      </w:pPr>
      <w:r>
        <w:rPr>
          <w:rFonts w:ascii="Arial" w:cs="Arial" w:eastAsia="Arial" w:hAnsi="Arial"/>
          <w:sz w:val="22"/>
          <w:szCs w:val="22"/>
        </w:rPr>
        <w:t xml:space="preserve">This contribution formalises a monitoring protocol built entirely on CoDa tools: perturbation for change measurement, Aitchison distance for magnitude quantification, and effective diversity for concentration tracking. The protocol is applied to EMBER’s publicly available annual electricity generation dataset for three countries whose energy transitions are well-documented: Germany (nuclear phase-out and Energiewende), Japan (post-Fukushima restructuring), and the United Kingdom (coal exit).</w:t>
      </w:r>
    </w:p>
    <w:p>
      <w:pPr>
        <w:pStyle w:val="Heading1"/>
        <w:spacing w:after="120" w:before="240"/>
      </w:pPr>
      <w:r>
        <w:rPr>
          <w:rFonts w:ascii="Arial" w:cs="Arial" w:eastAsia="Arial" w:hAnsi="Arial"/>
          <w:b/>
          <w:bCs/>
          <w:color w:val="1F4E79"/>
          <w:sz w:val="28"/>
          <w:szCs w:val="28"/>
        </w:rPr>
        <w:t xml:space="preserve">2. Data</w:t>
      </w:r>
    </w:p>
    <w:p>
      <w:pPr>
        <w:spacing w:after="120" w:line="276"/>
        <w:jc w:val="both"/>
      </w:pPr>
      <w:r>
        <w:rPr>
          <w:rFonts w:ascii="Arial" w:cs="Arial" w:eastAsia="Arial" w:hAnsi="Arial"/>
          <w:sz w:val="22"/>
          <w:szCs w:val="22"/>
        </w:rPr>
        <w:t xml:space="preserve">Annual electricity generation data were obtained from the EMBER Global Electricity Review [4], released under a CC BY 4.0 licence. The dataset provides generation by fuel type in TWh for 215 countries and territories. For each country-year, a nine-part composition </w:t>
      </w:r>
      <w:r>
        <w:rPr>
          <w:rFonts w:ascii="Arial" w:cs="Arial" w:eastAsia="Arial" w:hAnsi="Arial"/>
          <w:b/>
          <w:bCs/>
          <w:sz w:val="22"/>
          <w:szCs w:val="22"/>
        </w:rPr>
        <w:t xml:space="preserve">x</w:t>
      </w:r>
      <w:r>
        <w:rPr>
          <w:rFonts w:ascii="Arial" w:cs="Arial" w:eastAsia="Arial" w:hAnsi="Arial"/>
          <w:sz w:val="22"/>
          <w:szCs w:val="22"/>
        </w:rPr>
        <w:t xml:space="preserve"> = (x</w:t>
      </w:r>
      <w:r>
        <w:rPr>
          <w:rFonts w:ascii="Arial" w:cs="Arial" w:eastAsia="Arial" w:hAnsi="Arial"/>
          <w:sz w:val="18"/>
          <w:szCs w:val="18"/>
        </w:rPr>
        <w:t xml:space="preserve">Coal</w:t>
      </w:r>
      <w:r>
        <w:rPr>
          <w:rFonts w:ascii="Arial" w:cs="Arial" w:eastAsia="Arial" w:hAnsi="Arial"/>
          <w:sz w:val="22"/>
          <w:szCs w:val="22"/>
        </w:rPr>
        <w:t xml:space="preserve">, x</w:t>
      </w:r>
      <w:r>
        <w:rPr>
          <w:rFonts w:ascii="Arial" w:cs="Arial" w:eastAsia="Arial" w:hAnsi="Arial"/>
          <w:sz w:val="18"/>
          <w:szCs w:val="18"/>
        </w:rPr>
        <w:t xml:space="preserve">Gas</w:t>
      </w:r>
      <w:r>
        <w:rPr>
          <w:rFonts w:ascii="Arial" w:cs="Arial" w:eastAsia="Arial" w:hAnsi="Arial"/>
          <w:sz w:val="22"/>
          <w:szCs w:val="22"/>
        </w:rPr>
        <w:t xml:space="preserve">, x</w:t>
      </w:r>
      <w:r>
        <w:rPr>
          <w:rFonts w:ascii="Arial" w:cs="Arial" w:eastAsia="Arial" w:hAnsi="Arial"/>
          <w:sz w:val="18"/>
          <w:szCs w:val="18"/>
        </w:rPr>
        <w:t xml:space="preserve">Nuclear</w:t>
      </w:r>
      <w:r>
        <w:rPr>
          <w:rFonts w:ascii="Arial" w:cs="Arial" w:eastAsia="Arial" w:hAnsi="Arial"/>
          <w:sz w:val="22"/>
          <w:szCs w:val="22"/>
        </w:rPr>
        <w:t xml:space="preserve">, x</w:t>
      </w:r>
      <w:r>
        <w:rPr>
          <w:rFonts w:ascii="Arial" w:cs="Arial" w:eastAsia="Arial" w:hAnsi="Arial"/>
          <w:sz w:val="18"/>
          <w:szCs w:val="18"/>
        </w:rPr>
        <w:t xml:space="preserve">Hydro</w:t>
      </w:r>
      <w:r>
        <w:rPr>
          <w:rFonts w:ascii="Arial" w:cs="Arial" w:eastAsia="Arial" w:hAnsi="Arial"/>
          <w:sz w:val="22"/>
          <w:szCs w:val="22"/>
        </w:rPr>
        <w:t xml:space="preserve">, x</w:t>
      </w:r>
      <w:r>
        <w:rPr>
          <w:rFonts w:ascii="Arial" w:cs="Arial" w:eastAsia="Arial" w:hAnsi="Arial"/>
          <w:sz w:val="18"/>
          <w:szCs w:val="18"/>
        </w:rPr>
        <w:t xml:space="preserve">Solar</w:t>
      </w:r>
      <w:r>
        <w:rPr>
          <w:rFonts w:ascii="Arial" w:cs="Arial" w:eastAsia="Arial" w:hAnsi="Arial"/>
          <w:sz w:val="22"/>
          <w:szCs w:val="22"/>
        </w:rPr>
        <w:t xml:space="preserve">, x</w:t>
      </w:r>
      <w:r>
        <w:rPr>
          <w:rFonts w:ascii="Arial" w:cs="Arial" w:eastAsia="Arial" w:hAnsi="Arial"/>
          <w:sz w:val="18"/>
          <w:szCs w:val="18"/>
        </w:rPr>
        <w:t xml:space="preserve">Wind</w:t>
      </w:r>
      <w:r>
        <w:rPr>
          <w:rFonts w:ascii="Arial" w:cs="Arial" w:eastAsia="Arial" w:hAnsi="Arial"/>
          <w:sz w:val="22"/>
          <w:szCs w:val="22"/>
        </w:rPr>
        <w:t xml:space="preserve">, x</w:t>
      </w:r>
      <w:r>
        <w:rPr>
          <w:rFonts w:ascii="Arial" w:cs="Arial" w:eastAsia="Arial" w:hAnsi="Arial"/>
          <w:sz w:val="18"/>
          <w:szCs w:val="18"/>
        </w:rPr>
        <w:t xml:space="preserve">Bio</w:t>
      </w:r>
      <w:r>
        <w:rPr>
          <w:rFonts w:ascii="Arial" w:cs="Arial" w:eastAsia="Arial" w:hAnsi="Arial"/>
          <w:sz w:val="22"/>
          <w:szCs w:val="22"/>
        </w:rPr>
        <w:t xml:space="preserve">, x</w:t>
      </w:r>
      <w:r>
        <w:rPr>
          <w:rFonts w:ascii="Arial" w:cs="Arial" w:eastAsia="Arial" w:hAnsi="Arial"/>
          <w:sz w:val="18"/>
          <w:szCs w:val="18"/>
        </w:rPr>
        <w:t xml:space="preserve">OtherFossil</w:t>
      </w:r>
      <w:r>
        <w:rPr>
          <w:rFonts w:ascii="Arial" w:cs="Arial" w:eastAsia="Arial" w:hAnsi="Arial"/>
          <w:sz w:val="22"/>
          <w:szCs w:val="22"/>
        </w:rPr>
        <w:t xml:space="preserve">, x</w:t>
      </w:r>
      <w:r>
        <w:rPr>
          <w:rFonts w:ascii="Arial" w:cs="Arial" w:eastAsia="Arial" w:hAnsi="Arial"/>
          <w:sz w:val="18"/>
          <w:szCs w:val="18"/>
        </w:rPr>
        <w:t xml:space="preserve">OtherRen</w:t>
      </w:r>
      <w:r>
        <w:rPr>
          <w:rFonts w:ascii="Arial" w:cs="Arial" w:eastAsia="Arial" w:hAnsi="Arial"/>
          <w:sz w:val="22"/>
          <w:szCs w:val="22"/>
        </w:rPr>
        <w:t xml:space="preserve">) was formed by closing the generation vector to proportions:</w:t>
      </w:r>
    </w:p>
    <w:p>
      <w:pPr>
        <w:spacing w:after="120" w:line="276"/>
        <w:jc w:val="center"/>
      </w:pPr>
      <w:r>
        <w:rPr>
          <w:rFonts w:ascii="Cambria Math" w:cs="Cambria Math" w:eastAsia="Cambria Math" w:hAnsi="Cambria Math"/>
          <w:i/>
          <w:iCs/>
          <w:sz w:val="22"/>
          <w:szCs w:val="22"/>
        </w:rPr>
        <w:t xml:space="preserve">x</w:t>
      </w:r>
      <w:r>
        <w:rPr>
          <w:rFonts w:ascii="Arial" w:cs="Arial" w:eastAsia="Arial" w:hAnsi="Arial"/>
          <w:sz w:val="22"/>
          <w:szCs w:val="22"/>
        </w:rPr>
        <w:t xml:space="preserve"> = </w:t>
      </w:r>
      <w:r>
        <w:rPr>
          <w:rFonts w:ascii="Cambria Math" w:cs="Cambria Math" w:eastAsia="Cambria Math" w:hAnsi="Cambria Math"/>
          <w:i/>
          <w:iCs/>
          <w:sz w:val="22"/>
          <w:szCs w:val="22"/>
        </w:rPr>
        <w:t xml:space="preserve">C</w:t>
      </w:r>
      <w:r>
        <w:rPr>
          <w:rFonts w:ascii="Arial" w:cs="Arial" w:eastAsia="Arial" w:hAnsi="Arial"/>
          <w:sz w:val="22"/>
          <w:szCs w:val="22"/>
        </w:rPr>
        <w:t xml:space="preserve">(</w:t>
      </w:r>
      <w:r>
        <w:rPr>
          <w:rFonts w:ascii="Cambria Math" w:cs="Cambria Math" w:eastAsia="Cambria Math" w:hAnsi="Cambria Math"/>
          <w:i/>
          <w:iCs/>
          <w:sz w:val="22"/>
          <w:szCs w:val="22"/>
        </w:rPr>
        <w:t xml:space="preserve">g</w:t>
      </w:r>
      <w:r>
        <w:rPr>
          <w:rFonts w:ascii="Arial" w:cs="Arial" w:eastAsia="Arial" w:hAnsi="Arial"/>
          <w:sz w:val="22"/>
          <w:szCs w:val="22"/>
        </w:rPr>
        <w:t xml:space="preserve">) = </w:t>
      </w:r>
      <w:r>
        <w:rPr>
          <w:rFonts w:ascii="Cambria Math" w:cs="Cambria Math" w:eastAsia="Cambria Math" w:hAnsi="Cambria Math"/>
          <w:i/>
          <w:iCs/>
          <w:sz w:val="22"/>
          <w:szCs w:val="22"/>
        </w:rPr>
        <w:t xml:space="preserve">g</w:t>
      </w:r>
      <w:r>
        <w:rPr>
          <w:rFonts w:ascii="Arial" w:cs="Arial" w:eastAsia="Arial" w:hAnsi="Arial"/>
          <w:sz w:val="22"/>
          <w:szCs w:val="22"/>
        </w:rPr>
        <w:t xml:space="preserve"> / Σ</w:t>
      </w:r>
      <w:r>
        <w:rPr>
          <w:rFonts w:ascii="Cambria Math" w:cs="Cambria Math" w:eastAsia="Cambria Math" w:hAnsi="Cambria Math"/>
          <w:i/>
          <w:iCs/>
          <w:sz w:val="22"/>
          <w:szCs w:val="22"/>
        </w:rPr>
        <w:t xml:space="preserve">g</w:t>
      </w:r>
      <w:r>
        <w:rPr>
          <w:rFonts w:ascii="Arial" w:cs="Arial" w:eastAsia="Arial" w:hAnsi="Arial"/>
          <w:sz w:val="18"/>
          <w:szCs w:val="18"/>
          <w:vertAlign w:val="subscript"/>
        </w:rPr>
        <w:t xml:space="preserve">i</w:t>
      </w:r>
    </w:p>
    <w:p>
      <w:pPr>
        <w:spacing w:after="120" w:line="276"/>
        <w:jc w:val="both"/>
      </w:pPr>
      <w:r>
        <w:rPr>
          <w:rFonts w:ascii="Arial" w:cs="Arial" w:eastAsia="Arial" w:hAnsi="Arial"/>
          <w:sz w:val="22"/>
          <w:szCs w:val="22"/>
        </w:rPr>
        <w:t xml:space="preserve">where </w:t>
      </w:r>
      <w:r>
        <w:rPr>
          <w:rFonts w:ascii="Cambria Math" w:cs="Cambria Math" w:eastAsia="Cambria Math" w:hAnsi="Cambria Math"/>
          <w:i/>
          <w:iCs/>
          <w:sz w:val="22"/>
          <w:szCs w:val="22"/>
        </w:rPr>
        <w:t xml:space="preserve">g</w:t>
      </w:r>
      <w:r>
        <w:rPr>
          <w:rFonts w:ascii="Arial" w:cs="Arial" w:eastAsia="Arial" w:hAnsi="Arial"/>
          <w:sz w:val="22"/>
          <w:szCs w:val="22"/>
        </w:rPr>
        <w:t xml:space="preserve"> is the raw TWh vector and </w:t>
      </w:r>
      <w:r>
        <w:rPr>
          <w:rFonts w:ascii="Cambria Math" w:cs="Cambria Math" w:eastAsia="Cambria Math" w:hAnsi="Cambria Math"/>
          <w:i/>
          <w:iCs/>
          <w:sz w:val="22"/>
          <w:szCs w:val="22"/>
        </w:rPr>
        <w:t xml:space="preserve">C</w:t>
      </w:r>
      <w:r>
        <w:rPr>
          <w:rFonts w:ascii="Arial" w:cs="Arial" w:eastAsia="Arial" w:hAnsi="Arial"/>
          <w:sz w:val="22"/>
          <w:szCs w:val="22"/>
        </w:rPr>
        <w:t xml:space="preserve">(·) is the closure operator. Zero values (carriers not present in a country-year) were replaced using multiplicative zero replacement with δ = 10</w:t>
      </w:r>
      <w:r>
        <w:rPr>
          <w:rFonts w:ascii="Arial" w:cs="Arial" w:eastAsia="Arial" w:hAnsi="Arial"/>
          <w:sz w:val="22"/>
          <w:szCs w:val="22"/>
        </w:rPr>
        <w:t xml:space="preserve">⁻⁶</w:t>
      </w:r>
      <w:r>
        <w:rPr>
          <w:rFonts w:ascii="Arial" w:cs="Arial" w:eastAsia="Arial" w:hAnsi="Arial"/>
          <w:sz w:val="22"/>
          <w:szCs w:val="22"/>
        </w:rPr>
        <w:t xml:space="preserve">, preserving the ratios among non-zero parts [5].</w:t>
      </w:r>
    </w:p>
    <w:p>
      <w:pPr>
        <w:spacing w:after="120" w:line="276"/>
        <w:jc w:val="both"/>
      </w:pPr>
      <w:r>
        <w:rPr>
          <w:rFonts w:ascii="Arial" w:cs="Arial" w:eastAsia="Arial" w:hAnsi="Arial"/>
          <w:b/>
          <w:bCs/>
          <w:sz w:val="22"/>
          <w:szCs w:val="22"/>
        </w:rPr>
        <w:t xml:space="preserve">Coverage: </w:t>
      </w:r>
      <w:r>
        <w:rPr>
          <w:rFonts w:ascii="Arial" w:cs="Arial" w:eastAsia="Arial" w:hAnsi="Arial"/>
          <w:sz w:val="22"/>
          <w:szCs w:val="22"/>
        </w:rPr>
        <w:t xml:space="preserve">Germany 2000–2025 (26 years), Japan 2000–2024 (25 years), United Kingdom 2000–2025 (26 years). All nine carriers present in each country (some at replacement level).</w:t>
      </w:r>
    </w:p>
    <w:p>
      <w:pPr>
        <w:pStyle w:val="Heading1"/>
        <w:spacing w:after="120" w:before="240"/>
      </w:pPr>
      <w:r>
        <w:rPr>
          <w:rFonts w:ascii="Arial" w:cs="Arial" w:eastAsia="Arial" w:hAnsi="Arial"/>
          <w:b/>
          <w:bCs/>
          <w:color w:val="1F4E79"/>
          <w:sz w:val="28"/>
          <w:szCs w:val="28"/>
        </w:rPr>
        <w:t xml:space="preserve">3. Methodology</w:t>
      </w:r>
    </w:p>
    <w:p>
      <w:pPr>
        <w:pStyle w:val="Heading2"/>
        <w:spacing w:after="120" w:before="240"/>
      </w:pPr>
      <w:r>
        <w:rPr>
          <w:rFonts w:ascii="Arial" w:cs="Arial" w:eastAsia="Arial" w:hAnsi="Arial"/>
          <w:b/>
          <w:bCs/>
          <w:color w:val="2E75B6"/>
          <w:sz w:val="24"/>
          <w:szCs w:val="24"/>
        </w:rPr>
        <w:t xml:space="preserve">3.1 Perturbation as Change Measurement</w:t>
      </w:r>
    </w:p>
    <w:p>
      <w:pPr>
        <w:spacing w:after="120" w:line="276"/>
        <w:jc w:val="both"/>
      </w:pPr>
      <w:r>
        <w:rPr>
          <w:rFonts w:ascii="Arial" w:cs="Arial" w:eastAsia="Arial" w:hAnsi="Arial"/>
          <w:sz w:val="22"/>
          <w:szCs w:val="22"/>
        </w:rPr>
        <w:t xml:space="preserve">The compositional change from period </w:t>
      </w:r>
      <w:r>
        <w:rPr>
          <w:rFonts w:ascii="Cambria Math" w:cs="Cambria Math" w:eastAsia="Cambria Math" w:hAnsi="Cambria Math"/>
          <w:i/>
          <w:iCs/>
          <w:sz w:val="22"/>
          <w:szCs w:val="22"/>
        </w:rPr>
        <w:t xml:space="preserve">t</w:t>
      </w:r>
      <w:r>
        <w:rPr>
          <w:rFonts w:ascii="Arial" w:cs="Arial" w:eastAsia="Arial" w:hAnsi="Arial"/>
          <w:sz w:val="22"/>
          <w:szCs w:val="22"/>
        </w:rPr>
        <w:t xml:space="preserve"> to period </w:t>
      </w:r>
      <w:r>
        <w:rPr>
          <w:rFonts w:ascii="Cambria Math" w:cs="Cambria Math" w:eastAsia="Cambria Math" w:hAnsi="Cambria Math"/>
          <w:i/>
          <w:iCs/>
          <w:sz w:val="22"/>
          <w:szCs w:val="22"/>
        </w:rPr>
        <w:t xml:space="preserve">t+1</w:t>
      </w:r>
      <w:r>
        <w:rPr>
          <w:rFonts w:ascii="Arial" w:cs="Arial" w:eastAsia="Arial" w:hAnsi="Arial"/>
          <w:sz w:val="22"/>
          <w:szCs w:val="22"/>
        </w:rPr>
        <w:t xml:space="preserve"> is measured by the </w:t>
      </w:r>
      <w:r>
        <w:rPr>
          <w:rFonts w:ascii="Arial" w:cs="Arial" w:eastAsia="Arial" w:hAnsi="Arial"/>
          <w:i/>
          <w:iCs/>
          <w:sz w:val="22"/>
          <w:szCs w:val="22"/>
        </w:rPr>
        <w:t xml:space="preserve">perturbation difference</w:t>
      </w:r>
      <w:r>
        <w:rPr>
          <w:rFonts w:ascii="Arial" w:cs="Arial" w:eastAsia="Arial" w:hAnsi="Arial"/>
          <w:sz w:val="22"/>
          <w:szCs w:val="22"/>
        </w:rPr>
        <w:t xml:space="preserve">:</w:t>
      </w:r>
    </w:p>
    <w:p>
      <w:pPr>
        <w:spacing w:after="120" w:line="276"/>
        <w:jc w:val="center"/>
      </w:pPr>
      <w:r>
        <w:rPr>
          <w:rFonts w:ascii="Cambria Math" w:cs="Cambria Math" w:eastAsia="Cambria Math" w:hAnsi="Cambria Math"/>
          <w:i/>
          <w:iCs/>
          <w:sz w:val="22"/>
          <w:szCs w:val="22"/>
        </w:rPr>
        <w:t xml:space="preserve">Δ</w:t>
      </w:r>
      <w:r>
        <w:rPr>
          <w:rFonts w:ascii="Arial" w:cs="Arial" w:eastAsia="Arial" w:hAnsi="Arial"/>
          <w:sz w:val="22"/>
          <w:szCs w:val="22"/>
        </w:rPr>
        <w:t xml:space="preserve">(t) = </w:t>
      </w:r>
      <w:r>
        <w:rPr>
          <w:rFonts w:ascii="Arial" w:cs="Arial" w:eastAsia="Arial" w:hAnsi="Arial"/>
          <w:b/>
          <w:bCs/>
          <w:sz w:val="22"/>
          <w:szCs w:val="22"/>
        </w:rPr>
        <w:t xml:space="preserve">x</w:t>
      </w:r>
      <w:r>
        <w:rPr>
          <w:rFonts w:ascii="Arial" w:cs="Arial" w:eastAsia="Arial" w:hAnsi="Arial"/>
          <w:sz w:val="22"/>
          <w:szCs w:val="22"/>
        </w:rPr>
        <w:t xml:space="preserve">(t+1) ⊖ </w:t>
      </w:r>
      <w:r>
        <w:rPr>
          <w:rFonts w:ascii="Arial" w:cs="Arial" w:eastAsia="Arial" w:hAnsi="Arial"/>
          <w:b/>
          <w:bCs/>
          <w:sz w:val="22"/>
          <w:szCs w:val="22"/>
        </w:rPr>
        <w:t xml:space="preserve">x</w:t>
      </w:r>
      <w:r>
        <w:rPr>
          <w:rFonts w:ascii="Arial" w:cs="Arial" w:eastAsia="Arial" w:hAnsi="Arial"/>
          <w:sz w:val="22"/>
          <w:szCs w:val="22"/>
        </w:rPr>
        <w:t xml:space="preserve">(t) = </w:t>
      </w:r>
      <w:r>
        <w:rPr>
          <w:rFonts w:ascii="Cambria Math" w:cs="Cambria Math" w:eastAsia="Cambria Math" w:hAnsi="Cambria Math"/>
          <w:i/>
          <w:iCs/>
          <w:sz w:val="22"/>
          <w:szCs w:val="22"/>
        </w:rPr>
        <w:t xml:space="preserve">C</w:t>
      </w:r>
      <w:r>
        <w:rPr>
          <w:rFonts w:ascii="Arial" w:cs="Arial" w:eastAsia="Arial" w:hAnsi="Arial"/>
          <w:sz w:val="22"/>
          <w:szCs w:val="22"/>
        </w:rPr>
        <w:t xml:space="preserve">( x</w:t>
      </w:r>
      <w:r>
        <w:rPr>
          <w:rFonts w:ascii="Arial" w:cs="Arial" w:eastAsia="Arial" w:hAnsi="Arial"/>
          <w:sz w:val="18"/>
          <w:szCs w:val="18"/>
        </w:rPr>
        <w:t xml:space="preserve">1</w:t>
      </w:r>
      <w:r>
        <w:rPr>
          <w:rFonts w:ascii="Arial" w:cs="Arial" w:eastAsia="Arial" w:hAnsi="Arial"/>
          <w:sz w:val="22"/>
          <w:szCs w:val="22"/>
        </w:rPr>
        <w:t xml:space="preserve">(t+1)/x</w:t>
      </w:r>
      <w:r>
        <w:rPr>
          <w:rFonts w:ascii="Arial" w:cs="Arial" w:eastAsia="Arial" w:hAnsi="Arial"/>
          <w:sz w:val="18"/>
          <w:szCs w:val="18"/>
        </w:rPr>
        <w:t xml:space="preserve">1</w:t>
      </w:r>
      <w:r>
        <w:rPr>
          <w:rFonts w:ascii="Arial" w:cs="Arial" w:eastAsia="Arial" w:hAnsi="Arial"/>
          <w:sz w:val="22"/>
          <w:szCs w:val="22"/>
        </w:rPr>
        <w:t xml:space="preserve">(t), …, x</w:t>
      </w:r>
      <w:r>
        <w:rPr>
          <w:rFonts w:ascii="Arial" w:cs="Arial" w:eastAsia="Arial" w:hAnsi="Arial"/>
          <w:sz w:val="18"/>
          <w:szCs w:val="18"/>
        </w:rPr>
        <w:t xml:space="preserve">D</w:t>
      </w:r>
      <w:r>
        <w:rPr>
          <w:rFonts w:ascii="Arial" w:cs="Arial" w:eastAsia="Arial" w:hAnsi="Arial"/>
          <w:sz w:val="22"/>
          <w:szCs w:val="22"/>
        </w:rPr>
        <w:t xml:space="preserve">(t+1)/x</w:t>
      </w:r>
      <w:r>
        <w:rPr>
          <w:rFonts w:ascii="Arial" w:cs="Arial" w:eastAsia="Arial" w:hAnsi="Arial"/>
          <w:sz w:val="18"/>
          <w:szCs w:val="18"/>
        </w:rPr>
        <w:t xml:space="preserve">D</w:t>
      </w:r>
      <w:r>
        <w:rPr>
          <w:rFonts w:ascii="Arial" w:cs="Arial" w:eastAsia="Arial" w:hAnsi="Arial"/>
          <w:sz w:val="22"/>
          <w:szCs w:val="22"/>
        </w:rPr>
        <w:t xml:space="preserve">(t) )</w:t>
      </w:r>
    </w:p>
    <w:p>
      <w:pPr>
        <w:spacing w:after="120" w:line="276"/>
        <w:jc w:val="both"/>
      </w:pPr>
      <w:r>
        <w:rPr>
          <w:rFonts w:ascii="Arial" w:cs="Arial" w:eastAsia="Arial" w:hAnsi="Arial"/>
          <w:sz w:val="22"/>
          <w:szCs w:val="22"/>
        </w:rPr>
        <w:t xml:space="preserve">This is the compositional analogue of a difference: it captures the </w:t>
      </w:r>
      <w:r>
        <w:rPr>
          <w:rFonts w:ascii="Arial" w:cs="Arial" w:eastAsia="Arial" w:hAnsi="Arial"/>
          <w:i/>
          <w:iCs/>
          <w:sz w:val="22"/>
          <w:szCs w:val="22"/>
        </w:rPr>
        <w:t xml:space="preserve">ratio</w:t>
      </w:r>
      <w:r>
        <w:rPr>
          <w:rFonts w:ascii="Arial" w:cs="Arial" w:eastAsia="Arial" w:hAnsi="Arial"/>
          <w:sz w:val="22"/>
          <w:szCs w:val="22"/>
        </w:rPr>
        <w:t xml:space="preserve"> of proportional change in each carrier, then re-closes to the simplex. The perturbation difference is the identity element </w:t>
      </w:r>
      <w:r>
        <w:rPr>
          <w:rFonts w:ascii="Arial" w:cs="Arial" w:eastAsia="Arial" w:hAnsi="Arial"/>
          <w:b/>
          <w:bCs/>
          <w:sz w:val="22"/>
          <w:szCs w:val="22"/>
        </w:rPr>
        <w:t xml:space="preserve">e</w:t>
      </w:r>
      <w:r>
        <w:rPr>
          <w:rFonts w:ascii="Arial" w:cs="Arial" w:eastAsia="Arial" w:hAnsi="Arial"/>
          <w:sz w:val="22"/>
          <w:szCs w:val="22"/>
        </w:rPr>
        <w:t xml:space="preserve"> = (1/D, …, 1/D) when no change occurs.</w:t>
      </w:r>
    </w:p>
    <w:p>
      <w:pPr>
        <w:pStyle w:val="Heading2"/>
        <w:spacing w:after="120" w:before="240"/>
      </w:pPr>
      <w:r>
        <w:rPr>
          <w:rFonts w:ascii="Arial" w:cs="Arial" w:eastAsia="Arial" w:hAnsi="Arial"/>
          <w:b/>
          <w:bCs/>
          <w:color w:val="2E75B6"/>
          <w:sz w:val="24"/>
          <w:szCs w:val="24"/>
        </w:rPr>
        <w:t xml:space="preserve">3.2 Aitchison Distance for Drift Magnitude</w:t>
      </w:r>
    </w:p>
    <w:p>
      <w:pPr>
        <w:spacing w:after="120" w:line="276"/>
        <w:jc w:val="both"/>
      </w:pPr>
      <w:r>
        <w:rPr>
          <w:rFonts w:ascii="Arial" w:cs="Arial" w:eastAsia="Arial" w:hAnsi="Arial"/>
          <w:sz w:val="22"/>
          <w:szCs w:val="22"/>
        </w:rPr>
        <w:t xml:space="preserve">The magnitude of the compositional change is quantified by the Aitchison distance:</w:t>
      </w:r>
    </w:p>
    <w:p>
      <w:pPr>
        <w:spacing w:after="120" w:line="276"/>
        <w:jc w:val="center"/>
      </w:pPr>
      <w:r>
        <w:rPr>
          <w:rFonts w:ascii="Cambria Math" w:cs="Cambria Math" w:eastAsia="Cambria Math" w:hAnsi="Cambria Math"/>
          <w:i/>
          <w:iCs/>
          <w:sz w:val="22"/>
          <w:szCs w:val="22"/>
        </w:rPr>
        <w:t xml:space="preserve">d</w:t>
      </w:r>
      <w:r>
        <w:rPr>
          <w:rFonts w:ascii="Arial" w:cs="Arial" w:eastAsia="Arial" w:hAnsi="Arial"/>
          <w:sz w:val="18"/>
          <w:szCs w:val="18"/>
        </w:rPr>
        <w:t xml:space="preserve">A</w:t>
      </w:r>
      <w:r>
        <w:rPr>
          <w:rFonts w:ascii="Arial" w:cs="Arial" w:eastAsia="Arial" w:hAnsi="Arial"/>
          <w:sz w:val="22"/>
          <w:szCs w:val="22"/>
        </w:rPr>
        <w:t xml:space="preserve">(</w:t>
      </w:r>
      <w:r>
        <w:rPr>
          <w:rFonts w:ascii="Arial" w:cs="Arial" w:eastAsia="Arial" w:hAnsi="Arial"/>
          <w:b/>
          <w:bCs/>
          <w:sz w:val="22"/>
          <w:szCs w:val="22"/>
        </w:rPr>
        <w:t xml:space="preserve">x</w:t>
      </w:r>
      <w:r>
        <w:rPr>
          <w:rFonts w:ascii="Arial" w:cs="Arial" w:eastAsia="Arial" w:hAnsi="Arial"/>
          <w:sz w:val="22"/>
          <w:szCs w:val="22"/>
        </w:rPr>
        <w:t xml:space="preserve">, </w:t>
      </w:r>
      <w:r>
        <w:rPr>
          <w:rFonts w:ascii="Arial" w:cs="Arial" w:eastAsia="Arial" w:hAnsi="Arial"/>
          <w:b/>
          <w:bCs/>
          <w:sz w:val="22"/>
          <w:szCs w:val="22"/>
        </w:rPr>
        <w:t xml:space="preserve">y</w:t>
      </w:r>
      <w:r>
        <w:rPr>
          <w:rFonts w:ascii="Arial" w:cs="Arial" w:eastAsia="Arial" w:hAnsi="Arial"/>
          <w:sz w:val="22"/>
          <w:szCs w:val="22"/>
        </w:rPr>
        <w:t xml:space="preserve">) = ‖ clr(</w:t>
      </w:r>
      <w:r>
        <w:rPr>
          <w:rFonts w:ascii="Arial" w:cs="Arial" w:eastAsia="Arial" w:hAnsi="Arial"/>
          <w:b/>
          <w:bCs/>
          <w:sz w:val="22"/>
          <w:szCs w:val="22"/>
        </w:rPr>
        <w:t xml:space="preserve">x</w:t>
      </w:r>
      <w:r>
        <w:rPr>
          <w:rFonts w:ascii="Arial" w:cs="Arial" w:eastAsia="Arial" w:hAnsi="Arial"/>
          <w:sz w:val="22"/>
          <w:szCs w:val="22"/>
        </w:rPr>
        <w:t xml:space="preserve">) − clr(</w:t>
      </w:r>
      <w:r>
        <w:rPr>
          <w:rFonts w:ascii="Arial" w:cs="Arial" w:eastAsia="Arial" w:hAnsi="Arial"/>
          <w:b/>
          <w:bCs/>
          <w:sz w:val="22"/>
          <w:szCs w:val="22"/>
        </w:rPr>
        <w:t xml:space="preserve">y</w:t>
      </w:r>
      <w:r>
        <w:rPr>
          <w:rFonts w:ascii="Arial" w:cs="Arial" w:eastAsia="Arial" w:hAnsi="Arial"/>
          <w:sz w:val="22"/>
          <w:szCs w:val="22"/>
        </w:rPr>
        <w:t xml:space="preserve">) ‖</w:t>
      </w:r>
    </w:p>
    <w:p>
      <w:pPr>
        <w:spacing w:after="120" w:line="276"/>
        <w:jc w:val="both"/>
      </w:pPr>
      <w:r>
        <w:rPr>
          <w:rFonts w:ascii="Arial" w:cs="Arial" w:eastAsia="Arial" w:hAnsi="Arial"/>
          <w:sz w:val="22"/>
          <w:szCs w:val="22"/>
        </w:rPr>
        <w:t xml:space="preserve">where clr(</w:t>
      </w:r>
      <w:r>
        <w:rPr>
          <w:rFonts w:ascii="Arial" w:cs="Arial" w:eastAsia="Arial" w:hAnsi="Arial"/>
          <w:b/>
          <w:bCs/>
          <w:sz w:val="22"/>
          <w:szCs w:val="22"/>
        </w:rPr>
        <w:t xml:space="preserve">x</w:t>
      </w:r>
      <w:r>
        <w:rPr>
          <w:rFonts w:ascii="Arial" w:cs="Arial" w:eastAsia="Arial" w:hAnsi="Arial"/>
          <w:sz w:val="22"/>
          <w:szCs w:val="22"/>
        </w:rPr>
        <w:t xml:space="preserve">) = ( ln(x</w:t>
      </w:r>
      <w:r>
        <w:rPr>
          <w:rFonts w:ascii="Arial" w:cs="Arial" w:eastAsia="Arial" w:hAnsi="Arial"/>
          <w:sz w:val="18"/>
          <w:szCs w:val="18"/>
        </w:rPr>
        <w:t xml:space="preserve">i</w:t>
      </w:r>
      <w:r>
        <w:rPr>
          <w:rFonts w:ascii="Arial" w:cs="Arial" w:eastAsia="Arial" w:hAnsi="Arial"/>
          <w:sz w:val="22"/>
          <w:szCs w:val="22"/>
        </w:rPr>
        <w:t xml:space="preserve">) − (1/D) Σ ln(x</w:t>
      </w:r>
      <w:r>
        <w:rPr>
          <w:rFonts w:ascii="Arial" w:cs="Arial" w:eastAsia="Arial" w:hAnsi="Arial"/>
          <w:sz w:val="18"/>
          <w:szCs w:val="18"/>
        </w:rPr>
        <w:t xml:space="preserve">j</w:t>
      </w:r>
      <w:r>
        <w:rPr>
          <w:rFonts w:ascii="Arial" w:cs="Arial" w:eastAsia="Arial" w:hAnsi="Arial"/>
          <w:sz w:val="22"/>
          <w:szCs w:val="22"/>
        </w:rPr>
        <w:t xml:space="preserve">) )</w:t>
      </w:r>
      <w:r>
        <w:rPr>
          <w:rFonts w:ascii="Arial" w:cs="Arial" w:eastAsia="Arial" w:hAnsi="Arial"/>
          <w:sz w:val="18"/>
          <w:szCs w:val="18"/>
        </w:rPr>
        <w:t xml:space="preserve">i=1..D</w:t>
      </w:r>
      <w:r>
        <w:rPr>
          <w:rFonts w:ascii="Arial" w:cs="Arial" w:eastAsia="Arial" w:hAnsi="Arial"/>
          <w:sz w:val="22"/>
          <w:szCs w:val="22"/>
        </w:rPr>
        <w:t xml:space="preserve"> is the centred log-ratio transform. Equivalently, </w:t>
      </w:r>
      <w:r>
        <w:rPr>
          <w:rFonts w:ascii="Cambria Math" w:cs="Cambria Math" w:eastAsia="Cambria Math" w:hAnsi="Cambria Math"/>
          <w:i/>
          <w:iCs/>
          <w:sz w:val="22"/>
          <w:szCs w:val="22"/>
        </w:rPr>
        <w:t xml:space="preserve">d</w:t>
      </w:r>
      <w:r>
        <w:rPr>
          <w:rFonts w:ascii="Arial" w:cs="Arial" w:eastAsia="Arial" w:hAnsi="Arial"/>
          <w:sz w:val="18"/>
          <w:szCs w:val="18"/>
        </w:rPr>
        <w:t xml:space="preserve">A</w:t>
      </w:r>
      <w:r>
        <w:rPr>
          <w:rFonts w:ascii="Arial" w:cs="Arial" w:eastAsia="Arial" w:hAnsi="Arial"/>
          <w:sz w:val="22"/>
          <w:szCs w:val="22"/>
        </w:rPr>
        <w:t xml:space="preserve"> equals the Aitchison norm of the perturbation difference. The Aitchison distance is the natural metric on the simplex: it is invariant under permutation, perturbation, and subcompositional operations [3].</w:t>
      </w:r>
    </w:p>
    <w:p>
      <w:pPr>
        <w:pStyle w:val="Heading2"/>
        <w:spacing w:after="120" w:before="240"/>
      </w:pPr>
      <w:r>
        <w:rPr>
          <w:rFonts w:ascii="Arial" w:cs="Arial" w:eastAsia="Arial" w:hAnsi="Arial"/>
          <w:b/>
          <w:bCs/>
          <w:color w:val="2E75B6"/>
          <w:sz w:val="24"/>
          <w:szCs w:val="24"/>
        </w:rPr>
        <w:t xml:space="preserve">3.3 Drift Detection</w:t>
      </w:r>
    </w:p>
    <w:p>
      <w:pPr>
        <w:spacing w:after="120" w:line="276"/>
        <w:jc w:val="both"/>
      </w:pPr>
      <w:r>
        <w:rPr>
          <w:rFonts w:ascii="Arial" w:cs="Arial" w:eastAsia="Arial" w:hAnsi="Arial"/>
          <w:sz w:val="22"/>
          <w:szCs w:val="22"/>
        </w:rPr>
        <w:t xml:space="preserve">A </w:t>
      </w:r>
      <w:r>
        <w:rPr>
          <w:rFonts w:ascii="Arial" w:cs="Arial" w:eastAsia="Arial" w:hAnsi="Arial"/>
          <w:i/>
          <w:iCs/>
          <w:sz w:val="22"/>
          <w:szCs w:val="22"/>
        </w:rPr>
        <w:t xml:space="preserve">drift flag</w:t>
      </w:r>
      <w:r>
        <w:rPr>
          <w:rFonts w:ascii="Arial" w:cs="Arial" w:eastAsia="Arial" w:hAnsi="Arial"/>
          <w:sz w:val="22"/>
          <w:szCs w:val="22"/>
        </w:rPr>
        <w:t xml:space="preserve"> is raised when the year-on-year Aitchison distance exceeds a threshold set at μ + 2σ, where μ and σ are the mean and standard deviation of all year-on-year distances for that country. This identifies structural transitions that are anomalous relative to the country’s own baseline rate of compositional change.</w:t>
      </w:r>
    </w:p>
    <w:p>
      <w:pPr>
        <w:pStyle w:val="Heading2"/>
        <w:spacing w:after="120" w:before="240"/>
      </w:pPr>
      <w:r>
        <w:rPr>
          <w:rFonts w:ascii="Arial" w:cs="Arial" w:eastAsia="Arial" w:hAnsi="Arial"/>
          <w:b/>
          <w:bCs/>
          <w:color w:val="2E75B6"/>
          <w:sz w:val="24"/>
          <w:szCs w:val="24"/>
        </w:rPr>
        <w:t xml:space="preserve">3.4 Effective Diversity and Concentration</w:t>
      </w:r>
    </w:p>
    <w:p>
      <w:pPr>
        <w:spacing w:after="120" w:line="276"/>
        <w:jc w:val="both"/>
      </w:pPr>
      <w:r>
        <w:rPr>
          <w:rFonts w:ascii="Arial" w:cs="Arial" w:eastAsia="Arial" w:hAnsi="Arial"/>
          <w:sz w:val="22"/>
          <w:szCs w:val="22"/>
        </w:rPr>
        <w:t xml:space="preserve">Alongside the drift protocol, a concentration measure is computed at each time point. The Shannon entropy of the composition is:</w:t>
      </w:r>
    </w:p>
    <w:p>
      <w:pPr>
        <w:spacing w:after="120" w:line="276"/>
        <w:jc w:val="center"/>
      </w:pPr>
      <w:r>
        <w:rPr>
          <w:rFonts w:ascii="Cambria Math" w:cs="Cambria Math" w:eastAsia="Cambria Math" w:hAnsi="Cambria Math"/>
          <w:i/>
          <w:iCs/>
          <w:sz w:val="22"/>
          <w:szCs w:val="22"/>
        </w:rPr>
        <w:t xml:space="preserve">H</w:t>
      </w:r>
      <w:r>
        <w:rPr>
          <w:rFonts w:ascii="Arial" w:cs="Arial" w:eastAsia="Arial" w:hAnsi="Arial"/>
          <w:sz w:val="22"/>
          <w:szCs w:val="22"/>
        </w:rPr>
        <w:t xml:space="preserve">(</w:t>
      </w:r>
      <w:r>
        <w:rPr>
          <w:rFonts w:ascii="Arial" w:cs="Arial" w:eastAsia="Arial" w:hAnsi="Arial"/>
          <w:b/>
          <w:bCs/>
          <w:sz w:val="22"/>
          <w:szCs w:val="22"/>
        </w:rPr>
        <w:t xml:space="preserve">x</w:t>
      </w:r>
      <w:r>
        <w:rPr>
          <w:rFonts w:ascii="Arial" w:cs="Arial" w:eastAsia="Arial" w:hAnsi="Arial"/>
          <w:sz w:val="22"/>
          <w:szCs w:val="22"/>
        </w:rPr>
        <w:t xml:space="preserve">) = − Σ x</w:t>
      </w:r>
      <w:r>
        <w:rPr>
          <w:rFonts w:ascii="Arial" w:cs="Arial" w:eastAsia="Arial" w:hAnsi="Arial"/>
          <w:sz w:val="18"/>
          <w:szCs w:val="18"/>
        </w:rPr>
        <w:t xml:space="preserve">i</w:t>
      </w:r>
      <w:r>
        <w:rPr>
          <w:rFonts w:ascii="Arial" w:cs="Arial" w:eastAsia="Arial" w:hAnsi="Arial"/>
          <w:sz w:val="22"/>
          <w:szCs w:val="22"/>
        </w:rPr>
        <w:t xml:space="preserve"> ln(x</w:t>
      </w:r>
      <w:r>
        <w:rPr>
          <w:rFonts w:ascii="Arial" w:cs="Arial" w:eastAsia="Arial" w:hAnsi="Arial"/>
          <w:sz w:val="18"/>
          <w:szCs w:val="18"/>
        </w:rPr>
        <w:t xml:space="preserve">i</w:t>
      </w:r>
      <w:r>
        <w:rPr>
          <w:rFonts w:ascii="Arial" w:cs="Arial" w:eastAsia="Arial" w:hAnsi="Arial"/>
          <w:sz w:val="22"/>
          <w:szCs w:val="22"/>
        </w:rPr>
        <w:t xml:space="preserve">)</w:t>
      </w:r>
    </w:p>
    <w:p>
      <w:pPr>
        <w:spacing w:after="120" w:line="276"/>
        <w:jc w:val="both"/>
      </w:pPr>
      <w:r>
        <w:rPr>
          <w:rFonts w:ascii="Arial" w:cs="Arial" w:eastAsia="Arial" w:hAnsi="Arial"/>
          <w:sz w:val="22"/>
          <w:szCs w:val="22"/>
        </w:rPr>
        <w:t xml:space="preserve">The </w:t>
      </w:r>
      <w:r>
        <w:rPr>
          <w:rFonts w:ascii="Arial" w:cs="Arial" w:eastAsia="Arial" w:hAnsi="Arial"/>
          <w:i/>
          <w:iCs/>
          <w:sz w:val="22"/>
          <w:szCs w:val="22"/>
        </w:rPr>
        <w:t xml:space="preserve">effective number of carriers</w:t>
      </w:r>
      <w:r>
        <w:rPr>
          <w:rFonts w:ascii="Arial" w:cs="Arial" w:eastAsia="Arial" w:hAnsi="Arial"/>
          <w:sz w:val="22"/>
          <w:szCs w:val="22"/>
        </w:rPr>
        <w:t xml:space="preserve"> is N</w:t>
      </w:r>
      <w:r>
        <w:rPr>
          <w:rFonts w:ascii="Arial" w:cs="Arial" w:eastAsia="Arial" w:hAnsi="Arial"/>
          <w:sz w:val="18"/>
          <w:szCs w:val="18"/>
        </w:rPr>
        <w:t xml:space="preserve">eff</w:t>
      </w:r>
      <w:r>
        <w:rPr>
          <w:rFonts w:ascii="Arial" w:cs="Arial" w:eastAsia="Arial" w:hAnsi="Arial"/>
          <w:sz w:val="22"/>
          <w:szCs w:val="22"/>
        </w:rPr>
        <w:t xml:space="preserve"> = exp(H), which equals D when all carriers contribute equally and approaches 1 when a single carrier dominates. The ratio H/H</w:t>
      </w:r>
      <w:r>
        <w:rPr>
          <w:rFonts w:ascii="Arial" w:cs="Arial" w:eastAsia="Arial" w:hAnsi="Arial"/>
          <w:sz w:val="18"/>
          <w:szCs w:val="18"/>
        </w:rPr>
        <w:t xml:space="preserve">max</w:t>
      </w:r>
      <w:r>
        <w:rPr>
          <w:rFonts w:ascii="Arial" w:cs="Arial" w:eastAsia="Arial" w:hAnsi="Arial"/>
          <w:sz w:val="22"/>
          <w:szCs w:val="22"/>
        </w:rPr>
        <w:t xml:space="preserve"> (where H</w:t>
      </w:r>
      <w:r>
        <w:rPr>
          <w:rFonts w:ascii="Arial" w:cs="Arial" w:eastAsia="Arial" w:hAnsi="Arial"/>
          <w:sz w:val="18"/>
          <w:szCs w:val="18"/>
        </w:rPr>
        <w:t xml:space="preserve">max</w:t>
      </w:r>
      <w:r>
        <w:rPr>
          <w:rFonts w:ascii="Arial" w:cs="Arial" w:eastAsia="Arial" w:hAnsi="Arial"/>
          <w:sz w:val="22"/>
          <w:szCs w:val="22"/>
        </w:rPr>
        <w:t xml:space="preserve"> = ln(D) = ln(9) ≈ 2.197) gives a normalised evenness measure. The relationship between this concentration measure and the Aitchison norm of the composition is noted as an open question for the community.</w:t>
      </w:r>
    </w:p>
    <w:p>
      <w:pPr>
        <w:pStyle w:val="Heading1"/>
        <w:spacing w:after="120" w:before="240"/>
      </w:pPr>
      <w:r>
        <w:rPr>
          <w:rFonts w:ascii="Arial" w:cs="Arial" w:eastAsia="Arial" w:hAnsi="Arial"/>
          <w:b/>
          <w:bCs/>
          <w:color w:val="1F4E79"/>
          <w:sz w:val="28"/>
          <w:szCs w:val="28"/>
        </w:rPr>
        <w:t xml:space="preserve">4. Results</w:t>
      </w:r>
    </w:p>
    <w:p>
      <w:pPr>
        <w:pStyle w:val="Heading2"/>
        <w:spacing w:after="120" w:before="240"/>
      </w:pPr>
      <w:r>
        <w:rPr>
          <w:rFonts w:ascii="Arial" w:cs="Arial" w:eastAsia="Arial" w:hAnsi="Arial"/>
          <w:b/>
          <w:bCs/>
          <w:color w:val="2E75B6"/>
          <w:sz w:val="24"/>
          <w:szCs w:val="24"/>
        </w:rPr>
        <w:t xml:space="preserve">4.1 Summary Statistics</w:t>
      </w:r>
    </w:p>
    <w:p>
      <w:pPr>
        <w:spacing w:after="120" w:line="276"/>
        <w:jc w:val="both"/>
      </w:pPr>
      <w:r>
        <w:rPr>
          <w:rFonts w:ascii="Arial" w:cs="Arial" w:eastAsia="Arial" w:hAnsi="Arial"/>
          <w:sz w:val="22"/>
          <w:szCs w:val="22"/>
        </w:rPr>
        <w:t xml:space="preserve">Table 1 summarises the drift statistics for the three countries.</w:t>
      </w:r>
    </w:p>
    <w:p>
      <w:pPr>
        <w:spacing w:after="120" w:line="276"/>
        <w:jc w:val="both"/>
      </w:pPr>
      <w:r>
        <w:rPr>
          <w:rFonts w:ascii="Arial" w:cs="Arial" w:eastAsia="Arial" w:hAnsi="Arial"/>
          <w:b/>
          <w:bCs/>
          <w:i/>
          <w:iCs/>
          <w:sz w:val="22"/>
          <w:szCs w:val="22"/>
        </w:rPr>
        <w:t xml:space="preserve">Table 1. </w:t>
      </w:r>
      <w:r>
        <w:rPr>
          <w:rFonts w:ascii="Arial" w:cs="Arial" w:eastAsia="Arial" w:hAnsi="Arial"/>
          <w:i/>
          <w:iCs/>
          <w:sz w:val="22"/>
          <w:szCs w:val="22"/>
        </w:rPr>
        <w:t xml:space="preserve">Summary drift statistics, 2000–2025.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Metric</w:t>
            </w:r>
          </w:p>
        </w:tc>
        <w:tc>
          <w:tcPr>
            <w:tcW w:type="dxa" w:w="234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Germany</w:t>
            </w:r>
          </w:p>
        </w:tc>
        <w:tc>
          <w:tcPr>
            <w:tcW w:type="dxa" w:w="234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Japan</w:t>
            </w:r>
          </w:p>
        </w:tc>
        <w:tc>
          <w:tcPr>
            <w:tcW w:type="dxa" w:w="234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United Kingdom</w:t>
            </w:r>
          </w:p>
        </w:tc>
      </w:tr>
      <w:tr>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left"/>
            </w:pPr>
            <w:r>
              <w:rPr>
                <w:rFonts w:ascii="Arial" w:cs="Arial" w:eastAsia="Arial" w:hAnsi="Arial"/>
                <w:sz w:val="18"/>
                <w:szCs w:val="18"/>
              </w:rPr>
              <w:t xml:space="preserve">Period</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2000–2025</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2000–2024</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2000–2025</w:t>
            </w:r>
          </w:p>
        </w:tc>
      </w:tr>
      <w:tr>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left"/>
            </w:pPr>
            <w:r>
              <w:rPr>
                <w:rFonts w:ascii="Arial" w:cs="Arial" w:eastAsia="Arial" w:hAnsi="Arial"/>
                <w:sz w:val="18"/>
                <w:szCs w:val="18"/>
              </w:rPr>
              <w:t xml:space="preserve">Mean d_A</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1.3871</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1.2823</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1.0118</w:t>
            </w:r>
          </w:p>
        </w:tc>
      </w:tr>
      <w:tr>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left"/>
            </w:pPr>
            <w:r>
              <w:rPr>
                <w:rFonts w:ascii="Arial" w:cs="Arial" w:eastAsia="Arial" w:hAnsi="Arial"/>
                <w:sz w:val="18"/>
                <w:szCs w:val="18"/>
              </w:rPr>
              <w:t xml:space="preserve">σ(d_A)</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2.0882</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2.2043</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0.8945</w:t>
            </w:r>
          </w:p>
        </w:tc>
      </w:tr>
      <w:tr>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left"/>
            </w:pPr>
            <w:r>
              <w:rPr>
                <w:rFonts w:ascii="Arial" w:cs="Arial" w:eastAsia="Arial" w:hAnsi="Arial"/>
                <w:sz w:val="18"/>
                <w:szCs w:val="18"/>
              </w:rPr>
              <w:t xml:space="preserve">Max d_A</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9.0712</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9.0477</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3.2579</w:t>
            </w:r>
          </w:p>
        </w:tc>
      </w:tr>
      <w:tr>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left"/>
            </w:pPr>
            <w:r>
              <w:rPr>
                <w:rFonts w:ascii="Arial" w:cs="Arial" w:eastAsia="Arial" w:hAnsi="Arial"/>
                <w:sz w:val="18"/>
                <w:szCs w:val="18"/>
              </w:rPr>
              <w:t xml:space="preserve">μ+2σ threshold</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5.5634</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5.6909</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2.8008</w:t>
            </w:r>
          </w:p>
        </w:tc>
      </w:tr>
      <w:tr>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left"/>
            </w:pPr>
            <w:r>
              <w:rPr>
                <w:rFonts w:ascii="Arial" w:cs="Arial" w:eastAsia="Arial" w:hAnsi="Arial"/>
                <w:sz w:val="18"/>
                <w:szCs w:val="18"/>
              </w:rPr>
              <w:t xml:space="preserve">Cumul. drift</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34.68</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30.78</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25.30</w:t>
            </w:r>
          </w:p>
        </w:tc>
      </w:tr>
      <w:tr>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left"/>
            </w:pPr>
            <w:r>
              <w:rPr>
                <w:rFonts w:ascii="Arial" w:cs="Arial" w:eastAsia="Arial" w:hAnsi="Arial"/>
                <w:sz w:val="18"/>
                <w:szCs w:val="18"/>
              </w:rPr>
              <w:t xml:space="preserve">d_A from 2000</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17.8466</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7.2484</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12.9529</w:t>
            </w:r>
          </w:p>
        </w:tc>
      </w:tr>
      <w:tr>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left"/>
            </w:pPr>
            <w:r>
              <w:rPr>
                <w:rFonts w:ascii="Arial" w:cs="Arial" w:eastAsia="Arial" w:hAnsi="Arial"/>
                <w:sz w:val="18"/>
                <w:szCs w:val="18"/>
              </w:rPr>
              <w:t xml:space="preserve">N_eff (start)</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3.49</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4.91</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3.71</w:t>
            </w:r>
          </w:p>
        </w:tc>
      </w:tr>
      <w:tr>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left"/>
            </w:pPr>
            <w:r>
              <w:rPr>
                <w:rFonts w:ascii="Arial" w:cs="Arial" w:eastAsia="Arial" w:hAnsi="Arial"/>
                <w:sz w:val="18"/>
                <w:szCs w:val="18"/>
              </w:rPr>
              <w:t xml:space="preserve">N_eff (end)</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5.85</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5.17</w:t>
            </w:r>
          </w:p>
        </w:tc>
        <w:tc>
          <w:tcPr>
            <w:tcW w:type="dxa" w:w="234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5.24</w:t>
            </w:r>
          </w:p>
        </w:tc>
      </w:tr>
      <w:tr>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left"/>
            </w:pPr>
            <w:r>
              <w:rPr>
                <w:rFonts w:ascii="Arial" w:cs="Arial" w:eastAsia="Arial" w:hAnsi="Arial"/>
                <w:sz w:val="18"/>
                <w:szCs w:val="18"/>
              </w:rPr>
              <w:t xml:space="preserve">Drift flags</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w:t>
            </w:r>
          </w:p>
        </w:tc>
        <w:tc>
          <w:tcPr>
            <w:tcW w:type="dxa" w:w="234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w:t>
            </w:r>
          </w:p>
        </w:tc>
      </w:tr>
    </w:tbl>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preserve">Germany shows the highest maximum single-year drift (d</w:t>
      </w:r>
      <w:r>
        <w:rPr>
          <w:rFonts w:ascii="Arial" w:cs="Arial" w:eastAsia="Arial" w:hAnsi="Arial"/>
          <w:sz w:val="18"/>
          <w:szCs w:val="18"/>
        </w:rPr>
        <w:t xml:space="preserve">A</w:t>
      </w:r>
      <w:r>
        <w:rPr>
          <w:rFonts w:ascii="Arial" w:cs="Arial" w:eastAsia="Arial" w:hAnsi="Arial"/>
          <w:sz w:val="22"/>
          <w:szCs w:val="22"/>
        </w:rPr>
        <w:t xml:space="preserve"> = 9.07, driven by the final nuclear shutdown), but the United Kingdom accumulates drift more steadily with three flag events. Japan’s drift is concentrated in two extraordinary years (2013–2014 and 2014–2015), corresponding exactly to the progressive shutdown of nuclear capacity following the Fukushima disaster.</w:t>
      </w:r>
    </w:p>
    <w:p>
      <w:pPr>
        <w:pStyle w:val="Heading2"/>
        <w:spacing w:after="120" w:before="240"/>
      </w:pPr>
      <w:r>
        <w:rPr>
          <w:rFonts w:ascii="Arial" w:cs="Arial" w:eastAsia="Arial" w:hAnsi="Arial"/>
          <w:b/>
          <w:bCs/>
          <w:color w:val="2E75B6"/>
          <w:sz w:val="24"/>
          <w:szCs w:val="24"/>
        </w:rPr>
        <w:t xml:space="preserve">4.2 Drift Flags</w:t>
      </w:r>
    </w:p>
    <w:p>
      <w:pPr>
        <w:spacing w:after="120" w:line="276"/>
        <w:jc w:val="both"/>
      </w:pPr>
      <w:r>
        <w:rPr>
          <w:rFonts w:ascii="Arial" w:cs="Arial" w:eastAsia="Arial" w:hAnsi="Arial"/>
          <w:sz w:val="22"/>
          <w:szCs w:val="22"/>
        </w:rPr>
        <w:t xml:space="preserve">Table 2 lists all periods where the Aitchison distance exceeded the country-specific threshold.</w:t>
      </w:r>
    </w:p>
    <w:p>
      <w:pPr>
        <w:spacing w:after="120" w:line="276"/>
        <w:jc w:val="both"/>
      </w:pPr>
      <w:r>
        <w:rPr>
          <w:rFonts w:ascii="Arial" w:cs="Arial" w:eastAsia="Arial" w:hAnsi="Arial"/>
          <w:b/>
          <w:bCs/>
          <w:i/>
          <w:iCs/>
          <w:sz w:val="22"/>
          <w:szCs w:val="22"/>
        </w:rPr>
        <w:t xml:space="preserve">Table 2. </w:t>
      </w:r>
      <w:r>
        <w:rPr>
          <w:rFonts w:ascii="Arial" w:cs="Arial" w:eastAsia="Arial" w:hAnsi="Arial"/>
          <w:i/>
          <w:iCs/>
          <w:sz w:val="22"/>
          <w:szCs w:val="22"/>
        </w:rPr>
        <w:t xml:space="preserve">Drift flags (μ + 2σ threshold exceeded).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1500"/>
        <w:gridCol w:w="256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Country</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Period</w:t>
            </w:r>
          </w:p>
        </w:tc>
        <w:tc>
          <w:tcPr>
            <w:tcW w:type="dxa" w:w="15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d_A</w:t>
            </w:r>
          </w:p>
        </w:tc>
        <w:tc>
          <w:tcPr>
            <w:tcW w:type="dxa" w:w="15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σ excess</w:t>
            </w:r>
          </w:p>
        </w:tc>
        <w:tc>
          <w:tcPr>
            <w:tcW w:type="dxa" w:w="25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Interpretation</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Germany</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2023–2024</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9.0712</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3.68σ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Final nuclear shutdown (Apr 2023), full-year effect</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Germany</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2024–2025</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5.7331</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2.08σ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Post-nuclear rebalancing continues</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Japan</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2013–2014</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9.0477</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3.52σ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Near-total nuclear shutdown post-Fukushima</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Japan</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2014–2015</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7.8460</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2.98σ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Nuclear fleet fully offline</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United Kingdom</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2004–2005</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2.9812</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2.2σ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Dash-for-gas acceleration</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United Kingdom</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2017–2018</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3.2263</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2.48σ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Coal collapse phase accelerates</w:t>
            </w:r>
          </w:p>
        </w:tc>
      </w:tr>
      <w:tr>
        <w:tc>
          <w:tcPr>
            <w:tcW w:type="dxa" w:w="20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United Kingdom</w:t>
            </w:r>
          </w:p>
        </w:tc>
        <w:tc>
          <w:tcPr>
            <w:tcW w:type="dxa" w:w="18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2019–2020</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3.2579</w:t>
            </w:r>
          </w:p>
        </w:tc>
        <w:tc>
          <w:tcPr>
            <w:tcW w:type="dxa" w:w="150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center"/>
            </w:pPr>
            <w:r>
              <w:rPr>
                <w:rFonts w:ascii="Arial" w:cs="Arial" w:eastAsia="Arial" w:hAnsi="Arial"/>
                <w:sz w:val="18"/>
                <w:szCs w:val="18"/>
              </w:rPr>
              <w:t xml:space="preserve">2.51σ</w:t>
            </w:r>
          </w:p>
        </w:tc>
        <w:tc>
          <w:tcPr>
            <w:tcW w:type="dxa" w:w="2560"/>
            <w:tcBorders>
              <w:top w:val="single" w:color="999999" w:sz="1"/>
              <w:left w:val="single" w:color="999999" w:sz="1"/>
              <w:bottom w:val="single" w:color="999999" w:sz="1"/>
              <w:right w:val="single" w:color="999999" w:sz="1"/>
            </w:tcBorders>
            <w:shd w:fill="FDE8E8" w:val="clear"/>
            <w:tcMar>
              <w:top w:type="dxa" w:w="40"/>
              <w:left w:type="dxa" w:w="80"/>
              <w:bottom w:type="dxa" w:w="40"/>
              <w:right w:type="dxa" w:w="80"/>
            </w:tcMar>
          </w:tcPr>
          <w:p>
            <w:pPr>
              <w:jc w:val="left"/>
            </w:pPr>
            <w:r>
              <w:rPr>
                <w:rFonts w:ascii="Arial" w:cs="Arial" w:eastAsia="Arial" w:hAnsi="Arial"/>
                <w:sz w:val="18"/>
                <w:szCs w:val="18"/>
              </w:rPr>
              <w:t xml:space="preserve">COVID demand shock + coal near-zero</w:t>
            </w:r>
          </w:p>
        </w:tc>
      </w:tr>
    </w:tbl>
    <w:p>
      <w:pPr>
        <w:spacing w:after="120" w:line="276"/>
        <w:jc w:val="both"/>
      </w:pPr>
      <w:r>
        <w:rPr>
          <w:rFonts w:ascii="Arial" w:cs="Arial" w:eastAsia="Arial" w:hAnsi="Arial"/>
          <w:sz w:val="22"/>
          <w:szCs w:val="22"/>
        </w:rPr>
        <w:t xml:space="default"/>
      </w:r>
    </w:p>
    <w:p>
      <w:pPr>
        <w:pStyle w:val="Heading2"/>
        <w:spacing w:after="120" w:before="240"/>
      </w:pPr>
      <w:r>
        <w:rPr>
          <w:rFonts w:ascii="Arial" w:cs="Arial" w:eastAsia="Arial" w:hAnsi="Arial"/>
          <w:b/>
          <w:bCs/>
          <w:color w:val="2E75B6"/>
          <w:sz w:val="24"/>
          <w:szCs w:val="24"/>
        </w:rPr>
        <w:t xml:space="preserve">4.3 Germany: Nuclear Phase-Out and Energiewende</w:t>
      </w:r>
    </w:p>
    <w:p>
      <w:pPr>
        <w:spacing w:after="120" w:line="276"/>
        <w:jc w:val="both"/>
      </w:pPr>
      <w:r>
        <w:rPr>
          <w:rFonts w:ascii="Arial" w:cs="Arial" w:eastAsia="Arial" w:hAnsi="Arial"/>
          <w:sz w:val="22"/>
          <w:szCs w:val="22"/>
        </w:rPr>
        <w:t xml:space="preserve">Germany’s energy composition underwent a profound transformation over the observation period. Nuclear generation fell from 29.8% (2000) to zero (2024–2025) following the 2011 Moratorium and the legislated phase-out completed in April 2023. The two drift flags (2023→2024 at d</w:t>
      </w:r>
      <w:r>
        <w:rPr>
          <w:rFonts w:ascii="Arial" w:cs="Arial" w:eastAsia="Arial" w:hAnsi="Arial"/>
          <w:sz w:val="18"/>
          <w:szCs w:val="18"/>
        </w:rPr>
        <w:t xml:space="preserve">A</w:t>
      </w:r>
      <w:r>
        <w:rPr>
          <w:rFonts w:ascii="Arial" w:cs="Arial" w:eastAsia="Arial" w:hAnsi="Arial"/>
          <w:sz w:val="22"/>
          <w:szCs w:val="22"/>
        </w:rPr>
        <w:t xml:space="preserve"> = 9.07, 3.68σ; 2024→2025 at d</w:t>
      </w:r>
      <w:r>
        <w:rPr>
          <w:rFonts w:ascii="Arial" w:cs="Arial" w:eastAsia="Arial" w:hAnsi="Arial"/>
          <w:sz w:val="18"/>
          <w:szCs w:val="18"/>
        </w:rPr>
        <w:t xml:space="preserve">A</w:t>
      </w:r>
      <w:r>
        <w:rPr>
          <w:rFonts w:ascii="Arial" w:cs="Arial" w:eastAsia="Arial" w:hAnsi="Arial"/>
          <w:sz w:val="22"/>
          <w:szCs w:val="22"/>
        </w:rPr>
        <w:t xml:space="preserve"> = 5.73, 2.08σ) capture the full-year effect of the final three reactors shutting down and the subsequent rebalancing.</w:t>
      </w:r>
    </w:p>
    <w:p>
      <w:pPr>
        <w:spacing w:after="120" w:line="276"/>
        <w:jc w:val="both"/>
      </w:pPr>
      <w:r>
        <w:rPr>
          <w:rFonts w:ascii="Arial" w:cs="Arial" w:eastAsia="Arial" w:hAnsi="Arial"/>
          <w:sz w:val="22"/>
          <w:szCs w:val="22"/>
        </w:rPr>
        <w:t xml:space="preserve">Simultaneously, the effective diversity increased from 3.49 to 5.85 as coal’s dominance (52.1% in 2000) was redistributed across gas, solar, wind, and bioenergy. The total structural shift from the 2000 baseline is d</w:t>
      </w:r>
      <w:r>
        <w:rPr>
          <w:rFonts w:ascii="Arial" w:cs="Arial" w:eastAsia="Arial" w:hAnsi="Arial"/>
          <w:sz w:val="18"/>
          <w:szCs w:val="18"/>
        </w:rPr>
        <w:t xml:space="preserve">A</w:t>
      </w:r>
      <w:r>
        <w:rPr>
          <w:rFonts w:ascii="Arial" w:cs="Arial" w:eastAsia="Arial" w:hAnsi="Arial"/>
          <w:sz w:val="22"/>
          <w:szCs w:val="22"/>
        </w:rPr>
        <w:t xml:space="preserve"> = 17.85 — the largest of the three countries, reflecting a genuine regime change in energy-mix architecture.</w:t>
      </w:r>
    </w:p>
    <w:p>
      <w:pPr>
        <w:spacing w:after="120" w:line="276"/>
        <w:jc w:val="both"/>
      </w:pPr>
      <w:r>
        <w:rPr>
          <w:rFonts w:ascii="Arial" w:cs="Arial" w:eastAsia="Arial" w:hAnsi="Arial"/>
          <w:b/>
          <w:bCs/>
          <w:i/>
          <w:iCs/>
          <w:sz w:val="22"/>
          <w:szCs w:val="22"/>
        </w:rPr>
        <w:t xml:space="preserve">Table 3a. </w:t>
      </w:r>
      <w:r>
        <w:rPr>
          <w:rFonts w:ascii="Arial" w:cs="Arial" w:eastAsia="Arial" w:hAnsi="Arial"/>
          <w:i/>
          <w:iCs/>
          <w:sz w:val="22"/>
          <w:szCs w:val="22"/>
        </w:rPr>
        <w:t xml:space="preserve">Germany — composition (% of total generation), selected years.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700"/>
        <w:gridCol w:w="960"/>
        <w:gridCol w:w="960"/>
        <w:gridCol w:w="960"/>
        <w:gridCol w:w="960"/>
        <w:gridCol w:w="960"/>
        <w:gridCol w:w="960"/>
        <w:gridCol w:w="960"/>
        <w:gridCol w:w="960"/>
        <w:gridCol w:w="960"/>
      </w:tblGrid>
      <w:tr>
        <w:tc>
          <w:tcPr>
            <w:tcW w:type="dxa" w:w="7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Year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Coal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Gas</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Nuclear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Hydro</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Solar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Wind</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Bioenergy</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Fossil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Renewables</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52.1</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8.6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29.8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47.0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26.6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42.1</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14.2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22.5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6.2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43.4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44.6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12.3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8.3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42.6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2020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23.7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11.4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8.7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23.3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9.0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2025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17.9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27.2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10.1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bl>
    <w:p>
      <w:r>
        <w:br w:type="page"/>
      </w:r>
    </w:p>
    <w:p>
      <w:pPr>
        <w:pStyle w:val="Heading2"/>
        <w:spacing w:after="120" w:before="240"/>
      </w:pPr>
      <w:r>
        <w:rPr>
          <w:rFonts w:ascii="Arial" w:cs="Arial" w:eastAsia="Arial" w:hAnsi="Arial"/>
          <w:b/>
          <w:bCs/>
          <w:color w:val="2E75B6"/>
          <w:sz w:val="24"/>
          <w:szCs w:val="24"/>
        </w:rPr>
        <w:t xml:space="preserve">4.4 Japan: Post-Fukushima Nuclear Withdrawal</w:t>
      </w:r>
    </w:p>
    <w:p>
      <w:pPr>
        <w:spacing w:after="120" w:line="276"/>
        <w:jc w:val="both"/>
      </w:pPr>
      <w:r>
        <w:rPr>
          <w:rFonts w:ascii="Arial" w:cs="Arial" w:eastAsia="Arial" w:hAnsi="Arial"/>
          <w:sz w:val="22"/>
          <w:szCs w:val="22"/>
        </w:rPr>
        <w:t xml:space="preserve">Japan’s post-Fukushima trajectory registers as the sharpest compositional shock in the dataset. Nuclear generation collapsed from 29.0% (2000) to effectively zero by 2014, then recovered partially to 8.4% by 2024. The two drift flags (2013→2014, d</w:t>
      </w:r>
      <w:r>
        <w:rPr>
          <w:rFonts w:ascii="Arial" w:cs="Arial" w:eastAsia="Arial" w:hAnsi="Arial"/>
          <w:sz w:val="18"/>
          <w:szCs w:val="18"/>
        </w:rPr>
        <w:t xml:space="preserve">A</w:t>
      </w:r>
      <w:r>
        <w:rPr>
          <w:rFonts w:ascii="Arial" w:cs="Arial" w:eastAsia="Arial" w:hAnsi="Arial"/>
          <w:sz w:val="22"/>
          <w:szCs w:val="22"/>
        </w:rPr>
        <w:t xml:space="preserve"> = 9.05, 3.52σ; 2014→2015, d</w:t>
      </w:r>
      <w:r>
        <w:rPr>
          <w:rFonts w:ascii="Arial" w:cs="Arial" w:eastAsia="Arial" w:hAnsi="Arial"/>
          <w:sz w:val="18"/>
          <w:szCs w:val="18"/>
        </w:rPr>
        <w:t xml:space="preserve">A</w:t>
      </w:r>
      <w:r>
        <w:rPr>
          <w:rFonts w:ascii="Arial" w:cs="Arial" w:eastAsia="Arial" w:hAnsi="Arial"/>
          <w:sz w:val="22"/>
          <w:szCs w:val="22"/>
        </w:rPr>
        <w:t xml:space="preserve"> = 7.85, 2.98σ) correspond to the years when nuclear output was at or near zero and the compositional burden was redistributed to gas and coal.</w:t>
      </w:r>
    </w:p>
    <w:p>
      <w:pPr>
        <w:spacing w:after="120" w:line="276"/>
        <w:jc w:val="both"/>
      </w:pPr>
      <w:r>
        <w:rPr>
          <w:rFonts w:ascii="Arial" w:cs="Arial" w:eastAsia="Arial" w:hAnsi="Arial"/>
          <w:sz w:val="22"/>
          <w:szCs w:val="22"/>
        </w:rPr>
        <w:t xml:space="preserve">The perturbation-based approach detects this event with crystal clarity: the perturbation difference for 2013→2014 shows the nuclear component ratio cratering while gas and coal ratios surge. This is a structural transition invisible to non-compositional methods that would track absolute TWh changes rather than proportional reallocation across the simplex.</w:t>
      </w:r>
    </w:p>
    <w:p>
      <w:pPr>
        <w:spacing w:after="120" w:line="276"/>
        <w:jc w:val="both"/>
      </w:pPr>
      <w:r>
        <w:rPr>
          <w:rFonts w:ascii="Arial" w:cs="Arial" w:eastAsia="Arial" w:hAnsi="Arial"/>
          <w:b/>
          <w:bCs/>
          <w:i/>
          <w:iCs/>
          <w:sz w:val="22"/>
          <w:szCs w:val="22"/>
        </w:rPr>
        <w:t xml:space="preserve">Table 3b. </w:t>
      </w:r>
      <w:r>
        <w:rPr>
          <w:rFonts w:ascii="Arial" w:cs="Arial" w:eastAsia="Arial" w:hAnsi="Arial"/>
          <w:i/>
          <w:iCs/>
          <w:sz w:val="22"/>
          <w:szCs w:val="22"/>
        </w:rPr>
        <w:t xml:space="preserve">Japan — composition (% of total generation), selected years.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700"/>
        <w:gridCol w:w="960"/>
        <w:gridCol w:w="960"/>
        <w:gridCol w:w="960"/>
        <w:gridCol w:w="960"/>
        <w:gridCol w:w="960"/>
        <w:gridCol w:w="960"/>
        <w:gridCol w:w="960"/>
        <w:gridCol w:w="960"/>
        <w:gridCol w:w="960"/>
      </w:tblGrid>
      <w:tr>
        <w:tc>
          <w:tcPr>
            <w:tcW w:type="dxa" w:w="7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Year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Coal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Gas</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Nuclear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Hydro</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Solar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Wind</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Bioenergy</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Fossil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Renewables</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21.7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23.5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29.0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27.7</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25.4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6.7</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16.0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27.4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28.2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25.3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8.9</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25.8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34.4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30.2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39.3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18.8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33.9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10.1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2020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33.7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40.5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7.5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2024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32.2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34.1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7.8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9.5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bl>
    <w:p>
      <w:pPr>
        <w:spacing w:after="120" w:line="276"/>
        <w:jc w:val="both"/>
      </w:pPr>
      <w:r>
        <w:rPr>
          <w:rFonts w:ascii="Arial" w:cs="Arial" w:eastAsia="Arial" w:hAnsi="Arial"/>
          <w:sz w:val="22"/>
          <w:szCs w:val="22"/>
        </w:rPr>
        <w:t xml:space="default"/>
      </w:r>
    </w:p>
    <w:p>
      <w:pPr>
        <w:pStyle w:val="Heading2"/>
        <w:spacing w:after="120" w:before="240"/>
      </w:pPr>
      <w:r>
        <w:rPr>
          <w:rFonts w:ascii="Arial" w:cs="Arial" w:eastAsia="Arial" w:hAnsi="Arial"/>
          <w:b/>
          <w:bCs/>
          <w:color w:val="2E75B6"/>
          <w:sz w:val="24"/>
          <w:szCs w:val="24"/>
        </w:rPr>
        <w:t xml:space="preserve">4.5 United Kingdom: Coal Exit</w:t>
      </w:r>
    </w:p>
    <w:p>
      <w:pPr>
        <w:spacing w:after="120" w:line="276"/>
        <w:jc w:val="both"/>
      </w:pPr>
      <w:r>
        <w:rPr>
          <w:rFonts w:ascii="Arial" w:cs="Arial" w:eastAsia="Arial" w:hAnsi="Arial"/>
          <w:sz w:val="22"/>
          <w:szCs w:val="22"/>
        </w:rPr>
        <w:t xml:space="preserve">The United Kingdom presents the steadiest structural drift of the three countries, with three flag events spread across two decades. Coal fell from 31.8% (2000) to 0.1% (2025) — a near-complete exit. The drift flags at 2004→2005 (d</w:t>
      </w:r>
      <w:r>
        <w:rPr>
          <w:rFonts w:ascii="Arial" w:cs="Arial" w:eastAsia="Arial" w:hAnsi="Arial"/>
          <w:sz w:val="18"/>
          <w:szCs w:val="18"/>
        </w:rPr>
        <w:t xml:space="preserve">A</w:t>
      </w:r>
      <w:r>
        <w:rPr>
          <w:rFonts w:ascii="Arial" w:cs="Arial" w:eastAsia="Arial" w:hAnsi="Arial"/>
          <w:sz w:val="22"/>
          <w:szCs w:val="22"/>
        </w:rPr>
        <w:t xml:space="preserve"> = 2.98, 2.20σ), 2017→2018 (d</w:t>
      </w:r>
      <w:r>
        <w:rPr>
          <w:rFonts w:ascii="Arial" w:cs="Arial" w:eastAsia="Arial" w:hAnsi="Arial"/>
          <w:sz w:val="18"/>
          <w:szCs w:val="18"/>
        </w:rPr>
        <w:t xml:space="preserve">A</w:t>
      </w:r>
      <w:r>
        <w:rPr>
          <w:rFonts w:ascii="Arial" w:cs="Arial" w:eastAsia="Arial" w:hAnsi="Arial"/>
          <w:sz w:val="22"/>
          <w:szCs w:val="22"/>
        </w:rPr>
        <w:t xml:space="preserve"> = 3.23, 2.48σ), and 2019→2020 (d</w:t>
      </w:r>
      <w:r>
        <w:rPr>
          <w:rFonts w:ascii="Arial" w:cs="Arial" w:eastAsia="Arial" w:hAnsi="Arial"/>
          <w:sz w:val="18"/>
          <w:szCs w:val="18"/>
        </w:rPr>
        <w:t xml:space="preserve">A</w:t>
      </w:r>
      <w:r>
        <w:rPr>
          <w:rFonts w:ascii="Arial" w:cs="Arial" w:eastAsia="Arial" w:hAnsi="Arial"/>
          <w:sz w:val="22"/>
          <w:szCs w:val="22"/>
        </w:rPr>
        <w:t xml:space="preserve"> = 3.26, 2.51σ) mark acceleration points in this exit.</w:t>
      </w:r>
    </w:p>
    <w:p>
      <w:pPr>
        <w:spacing w:after="120" w:line="276"/>
        <w:jc w:val="both"/>
      </w:pPr>
      <w:r>
        <w:rPr>
          <w:rFonts w:ascii="Arial" w:cs="Arial" w:eastAsia="Arial" w:hAnsi="Arial"/>
          <w:sz w:val="22"/>
          <w:szCs w:val="22"/>
        </w:rPr>
        <w:t xml:space="preserve">The effective diversity grew from 3.71 to 5.24 as generation diversified from a coal-gas-nuclear oligopoly into a broader mix including substantial wind (29.5% by 2025) and bioenergy (14.1%). The protocol registers this as an </w:t>
      </w:r>
      <w:r>
        <w:rPr>
          <w:rFonts w:ascii="Arial" w:cs="Arial" w:eastAsia="Arial" w:hAnsi="Arial"/>
          <w:i/>
          <w:iCs/>
          <w:sz w:val="22"/>
          <w:szCs w:val="22"/>
        </w:rPr>
        <w:t xml:space="preserve">abrupt regime change in the Aitchison distance matrix</w:t>
      </w:r>
      <w:r>
        <w:rPr>
          <w:rFonts w:ascii="Arial" w:cs="Arial" w:eastAsia="Arial" w:hAnsi="Arial"/>
          <w:sz w:val="22"/>
          <w:szCs w:val="22"/>
        </w:rPr>
        <w:t xml:space="preserve"> — the compositional equivalent of a phase transition.</w:t>
      </w:r>
    </w:p>
    <w:p>
      <w:pPr>
        <w:spacing w:after="120" w:line="276"/>
        <w:jc w:val="both"/>
      </w:pPr>
      <w:r>
        <w:rPr>
          <w:rFonts w:ascii="Arial" w:cs="Arial" w:eastAsia="Arial" w:hAnsi="Arial"/>
          <w:b/>
          <w:bCs/>
          <w:i/>
          <w:iCs/>
          <w:sz w:val="22"/>
          <w:szCs w:val="22"/>
        </w:rPr>
        <w:t xml:space="preserve">Table 3c. </w:t>
      </w:r>
      <w:r>
        <w:rPr>
          <w:rFonts w:ascii="Arial" w:cs="Arial" w:eastAsia="Arial" w:hAnsi="Arial"/>
          <w:i/>
          <w:iCs/>
          <w:sz w:val="22"/>
          <w:szCs w:val="22"/>
        </w:rPr>
        <w:t xml:space="preserve">United Kingdom — composition (% of total generation), selected years.</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700"/>
        <w:gridCol w:w="960"/>
        <w:gridCol w:w="960"/>
        <w:gridCol w:w="960"/>
        <w:gridCol w:w="960"/>
        <w:gridCol w:w="960"/>
        <w:gridCol w:w="960"/>
        <w:gridCol w:w="960"/>
        <w:gridCol w:w="960"/>
        <w:gridCol w:w="960"/>
      </w:tblGrid>
      <w:tr>
        <w:tc>
          <w:tcPr>
            <w:tcW w:type="dxa" w:w="7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Year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Coal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Gas</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Nuclear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Hydro</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Solar</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Wind</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Bioenergy</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Fossil</w:t>
            </w:r>
          </w:p>
        </w:tc>
        <w:tc>
          <w:tcPr>
            <w:tcW w:type="dxa" w:w="96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pPr>
              <w:jc w:val="center"/>
            </w:pPr>
            <w:r>
              <w:rPr>
                <w:rFonts w:ascii="Arial" w:cs="Arial" w:eastAsia="Arial" w:hAnsi="Arial"/>
                <w:b/>
                <w:bCs/>
                <w:color w:val="FFFFFF"/>
                <w:sz w:val="18"/>
                <w:szCs w:val="18"/>
              </w:rPr>
              <w:t xml:space="preserve">Other Renewables</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31.8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39.3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22.6</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33.8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38.3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0.7</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28.2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46.0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16.3</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0.9</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2.7</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29.5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39.8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18.7</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4.3</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2012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39.2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27.5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19.4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5.5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4.1</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2.5</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2015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22.4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29.5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2.2</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8.6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2.8</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2020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36.1</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16.2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2.2</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4.0</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24.4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12.4</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2.8</w:t>
            </w:r>
          </w:p>
        </w:tc>
        <w:tc>
          <w:tcPr>
            <w:tcW w:type="dxa" w:w="960"/>
            <w:tcBorders>
              <w:top w:val="single" w:color="999999" w:sz="1"/>
              <w:left w:val="single" w:color="999999" w:sz="1"/>
              <w:bottom w:val="single" w:color="999999" w:sz="1"/>
              <w:right w:val="single" w:color="999999" w:sz="1"/>
            </w:tcBorders>
            <w:shd w:fill="E8F0FE" w:val="clear"/>
            <w:tcMar>
              <w:top w:type="dxa" w:w="40"/>
              <w:left w:type="dxa" w:w="80"/>
              <w:bottom w:type="dxa" w:w="40"/>
              <w:right w:type="dxa" w:w="80"/>
            </w:tcMar>
          </w:tcPr>
          <w:p>
            <w:pPr>
              <w:jc w:val="center"/>
            </w:pPr>
            <w:r>
              <w:rPr>
                <w:rFonts w:ascii="Arial" w:cs="Arial" w:eastAsia="Arial" w:hAnsi="Arial"/>
                <w:sz w:val="18"/>
                <w:szCs w:val="18"/>
              </w:rPr>
              <w:t xml:space="preserve">0.0</w:t>
            </w:r>
          </w:p>
        </w:tc>
      </w:tr>
      <w:tr>
        <w:tc>
          <w:tcPr>
            <w:tcW w:type="dxa" w:w="70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2025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31.1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12.4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1.9</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6.6</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29.5</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14.1</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4.4</w:t>
            </w:r>
          </w:p>
        </w:tc>
        <w:tc>
          <w:tcPr>
            <w:tcW w:type="dxa" w:w="960"/>
            <w:tcBorders>
              <w:top w:val="single" w:color="999999" w:sz="1"/>
              <w:left w:val="single" w:color="999999" w:sz="1"/>
              <w:bottom w:val="single" w:color="999999" w:sz="1"/>
              <w:right w:val="single" w:color="999999" w:sz="1"/>
            </w:tcBorders>
            <w:shd w:fill="FFFFFF" w:val="clear"/>
            <w:tcMar>
              <w:top w:type="dxa" w:w="40"/>
              <w:left w:type="dxa" w:w="80"/>
              <w:bottom w:type="dxa" w:w="40"/>
              <w:right w:type="dxa" w:w="80"/>
            </w:tcMar>
          </w:tcPr>
          <w:p>
            <w:pPr>
              <w:jc w:val="center"/>
            </w:pPr>
            <w:r>
              <w:rPr>
                <w:rFonts w:ascii="Arial" w:cs="Arial" w:eastAsia="Arial" w:hAnsi="Arial"/>
                <w:sz w:val="18"/>
                <w:szCs w:val="18"/>
              </w:rPr>
              <w:t xml:space="preserve">0.0</w:t>
            </w:r>
          </w:p>
        </w:tc>
      </w:tr>
    </w:tbl>
    <w:p>
      <w:r>
        <w:br w:type="page"/>
      </w:r>
    </w:p>
    <w:p>
      <w:pPr>
        <w:pStyle w:val="Heading1"/>
        <w:spacing w:after="120" w:before="240"/>
      </w:pPr>
      <w:r>
        <w:rPr>
          <w:rFonts w:ascii="Arial" w:cs="Arial" w:eastAsia="Arial" w:hAnsi="Arial"/>
          <w:b/>
          <w:bCs/>
          <w:color w:val="1F4E79"/>
          <w:sz w:val="28"/>
          <w:szCs w:val="28"/>
        </w:rPr>
        <w:t xml:space="preserve">5. Falsifiable Claim</w:t>
      </w:r>
    </w:p>
    <w:p>
      <w:pPr>
        <w:spacing w:after="120" w:line="276"/>
        <w:jc w:val="both"/>
      </w:pPr>
      <w:r>
        <w:rPr>
          <w:rFonts w:ascii="Arial" w:cs="Arial" w:eastAsia="Arial" w:hAnsi="Arial"/>
          <w:b/>
          <w:bCs/>
          <w:sz w:val="22"/>
          <w:szCs w:val="22"/>
        </w:rPr>
        <w:t xml:space="preserve">Claim: </w:t>
      </w:r>
      <w:r>
        <w:rPr>
          <w:rFonts w:ascii="Arial" w:cs="Arial" w:eastAsia="Arial" w:hAnsi="Arial"/>
          <w:sz w:val="22"/>
          <w:szCs w:val="22"/>
        </w:rPr>
        <w:t xml:space="preserve">No existing monitoring framework in the environmental or governance literature performs compositional change detection at the carrier level with formal perturbation-based drift measurement.</w:t>
      </w:r>
    </w:p>
    <w:p>
      <w:pPr>
        <w:spacing w:after="120" w:line="276"/>
        <w:jc w:val="both"/>
      </w:pPr>
      <w:r>
        <w:rPr>
          <w:rFonts w:ascii="Arial" w:cs="Arial" w:eastAsia="Arial" w:hAnsi="Arial"/>
          <w:sz w:val="22"/>
          <w:szCs w:val="22"/>
        </w:rPr>
        <w:t xml:space="preserve">This claim can be defeated in four specific ways:</w:t>
      </w:r>
    </w:p>
    <w:p>
      <w:pPr>
        <w:spacing w:after="120" w:line="276"/>
        <w:jc w:val="both"/>
      </w:pPr>
      <w:r>
        <w:rPr>
          <w:rFonts w:ascii="Arial" w:cs="Arial" w:eastAsia="Arial" w:hAnsi="Arial"/>
          <w:b/>
          <w:bCs/>
          <w:sz w:val="22"/>
          <w:szCs w:val="22"/>
        </w:rPr>
        <w:t xml:space="preserve">(1) </w:t>
      </w:r>
      <w:r>
        <w:rPr>
          <w:rFonts w:ascii="Arial" w:cs="Arial" w:eastAsia="Arial" w:hAnsi="Arial"/>
          <w:sz w:val="22"/>
          <w:szCs w:val="22"/>
        </w:rPr>
        <w:t xml:space="preserve">A published monitoring system that uses the Aitchison metric on energy-mix compositions to detect drift;</w:t>
      </w:r>
    </w:p>
    <w:p>
      <w:pPr>
        <w:spacing w:after="120" w:line="276"/>
        <w:jc w:val="both"/>
      </w:pPr>
      <w:r>
        <w:rPr>
          <w:rFonts w:ascii="Arial" w:cs="Arial" w:eastAsia="Arial" w:hAnsi="Arial"/>
          <w:b/>
          <w:bCs/>
          <w:sz w:val="22"/>
          <w:szCs w:val="22"/>
        </w:rPr>
        <w:t xml:space="preserve">(2) </w:t>
      </w:r>
      <w:r>
        <w:rPr>
          <w:rFonts w:ascii="Arial" w:cs="Arial" w:eastAsia="Arial" w:hAnsi="Arial"/>
          <w:sz w:val="22"/>
          <w:szCs w:val="22"/>
        </w:rPr>
        <w:t xml:space="preserve">A published system that measures inter-period change as perturbation (compositional ratio) rather than arithmetic difference;</w:t>
      </w:r>
    </w:p>
    <w:p>
      <w:pPr>
        <w:spacing w:after="120" w:line="276"/>
        <w:jc w:val="both"/>
      </w:pPr>
      <w:r>
        <w:rPr>
          <w:rFonts w:ascii="Arial" w:cs="Arial" w:eastAsia="Arial" w:hAnsi="Arial"/>
          <w:b/>
          <w:bCs/>
          <w:sz w:val="22"/>
          <w:szCs w:val="22"/>
        </w:rPr>
        <w:t xml:space="preserve">(3) </w:t>
      </w:r>
      <w:r>
        <w:rPr>
          <w:rFonts w:ascii="Arial" w:cs="Arial" w:eastAsia="Arial" w:hAnsi="Arial"/>
          <w:sz w:val="22"/>
          <w:szCs w:val="22"/>
        </w:rPr>
        <w:t xml:space="preserve">A published system that operates at the individual carrier level (not aggregated to fossil/clean) within the simplex;</w:t>
      </w:r>
    </w:p>
    <w:p>
      <w:pPr>
        <w:spacing w:after="120" w:line="276"/>
        <w:jc w:val="both"/>
      </w:pPr>
      <w:r>
        <w:rPr>
          <w:rFonts w:ascii="Arial" w:cs="Arial" w:eastAsia="Arial" w:hAnsi="Arial"/>
          <w:b/>
          <w:bCs/>
          <w:sz w:val="22"/>
          <w:szCs w:val="22"/>
        </w:rPr>
        <w:t xml:space="preserve">(4) </w:t>
      </w:r>
      <w:r>
        <w:rPr>
          <w:rFonts w:ascii="Arial" w:cs="Arial" w:eastAsia="Arial" w:hAnsi="Arial"/>
          <w:sz w:val="22"/>
          <w:szCs w:val="22"/>
        </w:rPr>
        <w:t xml:space="preserve">A theoretical demonstration that compositional methods add no information beyond what existing proportion-based or percentage-based monitoring already captures.</w:t>
      </w:r>
    </w:p>
    <w:p>
      <w:pPr>
        <w:spacing w:after="120" w:line="276"/>
        <w:jc w:val="both"/>
      </w:pPr>
      <w:r>
        <w:rPr>
          <w:rFonts w:ascii="Arial" w:cs="Arial" w:eastAsia="Arial" w:hAnsi="Arial"/>
          <w:sz w:val="22"/>
          <w:szCs w:val="22"/>
        </w:rPr>
        <w:t xml:space="preserve">The author would welcome any of these outcomes.</w:t>
      </w:r>
    </w:p>
    <w:p>
      <w:pPr>
        <w:pStyle w:val="Heading1"/>
        <w:spacing w:after="120" w:before="240"/>
      </w:pPr>
      <w:r>
        <w:rPr>
          <w:rFonts w:ascii="Arial" w:cs="Arial" w:eastAsia="Arial" w:hAnsi="Arial"/>
          <w:b/>
          <w:bCs/>
          <w:color w:val="1F4E79"/>
          <w:sz w:val="28"/>
          <w:szCs w:val="28"/>
        </w:rPr>
        <w:t xml:space="preserve">6. Open Question for the Community</w:t>
      </w:r>
    </w:p>
    <w:p>
      <w:pPr>
        <w:spacing w:after="120" w:line="276"/>
        <w:jc w:val="both"/>
      </w:pPr>
      <w:r>
        <w:rPr>
          <w:rFonts w:ascii="Arial" w:cs="Arial" w:eastAsia="Arial" w:hAnsi="Arial"/>
          <w:sz w:val="22"/>
          <w:szCs w:val="22"/>
        </w:rPr>
        <w:t xml:space="preserve">The effective diversity N</w:t>
      </w:r>
      <w:r>
        <w:rPr>
          <w:rFonts w:ascii="Arial" w:cs="Arial" w:eastAsia="Arial" w:hAnsi="Arial"/>
          <w:sz w:val="18"/>
          <w:szCs w:val="18"/>
        </w:rPr>
        <w:t xml:space="preserve">eff</w:t>
      </w:r>
      <w:r>
        <w:rPr>
          <w:rFonts w:ascii="Arial" w:cs="Arial" w:eastAsia="Arial" w:hAnsi="Arial"/>
          <w:sz w:val="22"/>
          <w:szCs w:val="22"/>
        </w:rPr>
        <w:t xml:space="preserve"> = exp(H) and the Aitchison norm ‖</w:t>
      </w:r>
      <w:r>
        <w:rPr>
          <w:rFonts w:ascii="Arial" w:cs="Arial" w:eastAsia="Arial" w:hAnsi="Arial"/>
          <w:b/>
          <w:bCs/>
          <w:sz w:val="22"/>
          <w:szCs w:val="22"/>
        </w:rPr>
        <w:t xml:space="preserve">x</w:t>
      </w:r>
      <w:r>
        <w:rPr>
          <w:rFonts w:ascii="Arial" w:cs="Arial" w:eastAsia="Arial" w:hAnsi="Arial"/>
          <w:sz w:val="22"/>
          <w:szCs w:val="22"/>
        </w:rPr>
        <w:t xml:space="preserve">‖</w:t>
      </w:r>
      <w:r>
        <w:rPr>
          <w:rFonts w:ascii="Arial" w:cs="Arial" w:eastAsia="Arial" w:hAnsi="Arial"/>
          <w:sz w:val="18"/>
          <w:szCs w:val="18"/>
        </w:rPr>
        <w:t xml:space="preserve">A</w:t>
      </w:r>
      <w:r>
        <w:rPr>
          <w:rFonts w:ascii="Arial" w:cs="Arial" w:eastAsia="Arial" w:hAnsi="Arial"/>
          <w:sz w:val="22"/>
          <w:szCs w:val="22"/>
        </w:rPr>
        <w:t xml:space="preserve"> = ‖clr(</w:t>
      </w:r>
      <w:r>
        <w:rPr>
          <w:rFonts w:ascii="Arial" w:cs="Arial" w:eastAsia="Arial" w:hAnsi="Arial"/>
          <w:b/>
          <w:bCs/>
          <w:sz w:val="22"/>
          <w:szCs w:val="22"/>
        </w:rPr>
        <w:t xml:space="preserve">x</w:t>
      </w:r>
      <w:r>
        <w:rPr>
          <w:rFonts w:ascii="Arial" w:cs="Arial" w:eastAsia="Arial" w:hAnsi="Arial"/>
          <w:sz w:val="22"/>
          <w:szCs w:val="22"/>
        </w:rPr>
        <w:t xml:space="preserve">)‖ both quantify aspects of how “spread” a composition is across its parts. The relationship between these two measures — whether one can be expressed as a function of the other, under what conditions they diverge, and what each reveals that the other does not — is presented as an open question. The community’s expertise in simplex geometry may illuminate this connection.</w:t>
      </w:r>
    </w:p>
    <w:p>
      <w:pPr>
        <w:pStyle w:val="Heading1"/>
        <w:spacing w:after="120" w:before="240"/>
      </w:pPr>
      <w:r>
        <w:rPr>
          <w:rFonts w:ascii="Arial" w:cs="Arial" w:eastAsia="Arial" w:hAnsi="Arial"/>
          <w:b/>
          <w:bCs/>
          <w:color w:val="1F4E79"/>
          <w:sz w:val="28"/>
          <w:szCs w:val="28"/>
        </w:rPr>
        <w:t xml:space="preserve">7. Conclusion</w:t>
      </w:r>
    </w:p>
    <w:p>
      <w:pPr>
        <w:spacing w:after="120" w:line="276"/>
        <w:jc w:val="both"/>
      </w:pPr>
      <w:r>
        <w:rPr>
          <w:rFonts w:ascii="Arial" w:cs="Arial" w:eastAsia="Arial" w:hAnsi="Arial"/>
          <w:sz w:val="22"/>
          <w:szCs w:val="22"/>
        </w:rPr>
        <w:t xml:space="preserve">The perturbation-based monitoring protocol detects structural transitions in energy-mix composition that are invisible to non-compositional methods. Applied to EMBER data for Germany, Japan, and the United Kingdom, the protocol identifies seven drift flags across the three countries, each corresponding to a documented energy-policy event. The protocol requires no external thresholds, models, or scenario assumptions — it derives its flags from the country’s own compositional variability.</w:t>
      </w:r>
    </w:p>
    <w:p>
      <w:pPr>
        <w:spacing w:after="120" w:line="276"/>
        <w:jc w:val="both"/>
      </w:pPr>
      <w:r>
        <w:rPr>
          <w:rFonts w:ascii="Arial" w:cs="Arial" w:eastAsia="Arial" w:hAnsi="Arial"/>
          <w:sz w:val="22"/>
          <w:szCs w:val="22"/>
        </w:rPr>
        <w:t xml:space="preserve">All data, code, and documentation are publicly available. The author invites replication, extension to additional countries, and investigation of the open question regarding the relationship between effective diversity and the Aitchison norm.</w:t>
      </w:r>
    </w:p>
    <w:p>
      <w:pPr>
        <w:pStyle w:val="Heading1"/>
        <w:spacing w:after="120" w:before="240"/>
      </w:pPr>
      <w:r>
        <w:rPr>
          <w:rFonts w:ascii="Arial" w:cs="Arial" w:eastAsia="Arial" w:hAnsi="Arial"/>
          <w:b/>
          <w:bCs/>
          <w:color w:val="1F4E79"/>
          <w:sz w:val="28"/>
          <w:szCs w:val="28"/>
        </w:rPr>
        <w:t xml:space="preserve">References</w: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p>
      <w:pPr>
        <w:spacing w:after="120" w:line="276"/>
        <w:jc w:val="both"/>
      </w:pPr>
      <w:r>
        <w:rPr>
          <w:rFonts w:ascii="Arial" w:cs="Arial" w:eastAsia="Arial" w:hAnsi="Arial"/>
          <w:sz w:val="22"/>
          <w:szCs w:val="22"/>
        </w:rPr>
        <w:t xml:space="defaul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i/>
        <w:iCs/>
        <w:color w:val="999999"/>
        <w:sz w:val="16"/>
        <w:szCs w:val="16"/>
      </w:rPr>
      <w:t xml:space="preserve">CoDaWork 2026 — Higgins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80" w:before="18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2026-04-13T12:04:46.882Z</dcterms:created>
  <dcterms:modified xsi:type="dcterms:W3CDTF">2026-04-13T12:04:46.882Z</dcterms:modified>
</cp:coreProperties>
</file>

<file path=docProps/custom.xml><?xml version="1.0" encoding="utf-8"?>
<Properties xmlns="http://schemas.openxmlformats.org/officeDocument/2006/custom-properties" xmlns:vt="http://schemas.openxmlformats.org/officeDocument/2006/docPropsVTypes"/>
</file>