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0A1628"/>
          <w:sz w:val="40"/>
          <w:szCs w:val="40"/>
        </w:rPr>
        <w:t xml:space="preserve">CoDaWork 2026 — Conversation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D7377" w:sz="12"/>
              <w:bottom w:val="single" w:color="DDDDDD" w:sz="1"/>
              <w:right w:val="single" w:color="DDDDDD" w:sz="1"/>
            </w:tcBorders>
            <w:shd w:fill="F4F7FA" w:val="clear"/>
            <w:tcMar>
              <w:top w:type="dxa" w:w="120"/>
              <w:left w:type="dxa" w:w="200"/>
              <w:bottom w:type="dxa" w:w="120"/>
              <w:right w:type="dxa" w:w="200"/>
            </w:tcMar>
          </w:tcPr>
          <w:p>
            <w:pPr>
              <w:spacing w:after="0" w:line="300"/>
            </w:pPr>
            <w:r>
              <w:rPr>
                <w:i/>
                <w:iCs/>
                <w:color w:val="0A1628"/>
                <w:sz w:val="22"/>
                <w:szCs w:val="22"/>
              </w:rPr>
              <w:t xml:space="preserve">Principle: Understand their problem first. Offer the protocol as a solution to something they already need. Never lead with your work — lead with theirs.</w:t>
            </w:r>
          </w:p>
        </w:tc>
      </w:tr>
    </w:tbl>
    <w:p>
      <w:pPr>
        <w:spacing w:after="80"/>
      </w:pPr>
    </w:p>
    <w:p>
      <w:pPr>
        <w:pStyle w:val="Heading1"/>
      </w:pPr>
      <w:r>
        <w:t xml:space="preserve">1. Jayanth Kumar Narayana</w:t>
      </w:r>
    </w:p>
    <w:p>
      <w:pPr>
        <w:spacing w:after="160" w:line="300"/>
      </w:pPr>
      <w:r>
        <w:rPr>
          <w:b/>
          <w:bCs/>
          <w:sz w:val="22"/>
          <w:szCs w:val="22"/>
        </w:rPr>
        <w:t xml:space="preserve">Affiliation: </w:t>
      </w:r>
      <w:r>
        <w:rPr>
          <w:sz w:val="22"/>
          <w:szCs w:val="22"/>
        </w:rPr>
        <w:t xml:space="preserve">NTU Singapore, Lee Kong Chian School of Medicine</w:t>
      </w:r>
    </w:p>
    <w:p>
      <w:pPr>
        <w:spacing w:after="160" w:line="300"/>
      </w:pPr>
      <w:r>
        <w:rPr>
          <w:b/>
          <w:bCs/>
          <w:sz w:val="22"/>
          <w:szCs w:val="22"/>
        </w:rPr>
        <w:t xml:space="preserve">Email: </w:t>
      </w:r>
      <w:r>
        <w:rPr>
          <w:sz w:val="22"/>
          <w:szCs w:val="22"/>
        </w:rPr>
        <w:t xml:space="preserve">jayanth.narayana@ntu.edu.sg</w:t>
      </w:r>
    </w:p>
    <w:p>
      <w:pPr>
        <w:spacing w:after="80"/>
      </w:pPr>
    </w:p>
    <w:p>
      <w:pPr>
        <w:pStyle w:val="Heading2"/>
      </w:pPr>
      <w:r>
        <w:t xml:space="preserve">Their Work</w:t>
      </w:r>
    </w:p>
    <w:p>
      <w:pPr>
        <w:spacing w:after="160" w:line="300"/>
      </w:pPr>
      <w:r>
        <w:rPr>
          <w:sz w:val="22"/>
          <w:szCs w:val="22"/>
        </w:rPr>
        <w:t xml:space="preserve">COPD clinical trial: 93 patients, 256 sputum microbiome samples over 52 weeks. Doxycycline vs placebo. Standard methods (diversity indices, Bray-Curtis, PERMANOVA) found nothing. CoDa methods — inverse perturbation, Aitchison norm, moving-window analysis — revealed significant treatment effects and three distinct temporal patterns: consistent changes (Rothia), short-term (Burkholderia, 0–3 months), long-term (Moraxella, 9–12 months).</w:t>
      </w:r>
    </w:p>
    <w:p>
      <w:pPr>
        <w:pStyle w:val="Heading2"/>
      </w:pPr>
      <w:r>
        <w:t xml:space="preserve">Why They Need You</w:t>
      </w:r>
    </w:p>
    <w:p>
      <w:pPr>
        <w:spacing w:after="160" w:line="300"/>
      </w:pPr>
      <w:r>
        <w:rPr>
          <w:sz w:val="22"/>
          <w:szCs w:val="22"/>
        </w:rPr>
        <w:t xml:space="preserve">Narayana is already doing perturbation-based time-series analysis but without a formal monitoring framework. His moving-window approach identifies patterns narratively. He has no calibrated threshold, no automatic flagging, no cumulative drift tracking. Your protocol is exactly the machinery his analysis is missing.</w:t>
      </w:r>
    </w:p>
    <w:p>
      <w:pPr>
        <w:pStyle w:val="Heading2"/>
      </w:pPr>
      <w:r>
        <w:t xml:space="preserve">Conversation Opener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D7377" w:sz="12"/>
              <w:bottom w:val="single" w:color="DDDDDD" w:sz="1"/>
              <w:right w:val="single" w:color="DDDDDD" w:sz="1"/>
            </w:tcBorders>
            <w:shd w:fill="F4F7FA" w:val="clear"/>
            <w:tcMar>
              <w:top w:type="dxa" w:w="120"/>
              <w:left w:type="dxa" w:w="200"/>
              <w:bottom w:type="dxa" w:w="120"/>
              <w:right w:type="dxa" w:w="200"/>
            </w:tcMar>
          </w:tcPr>
          <w:p>
            <w:pPr>
              <w:spacing w:after="0" w:line="300"/>
            </w:pPr>
            <w:r>
              <w:rPr>
                <w:i/>
                <w:iCs/>
                <w:color w:val="0A1628"/>
                <w:sz w:val="22"/>
                <w:szCs w:val="22"/>
              </w:rPr>
              <w:t xml:space="preserve">"Your moving-window analysis on the COPD microbiome — I saw you used inverse perturbation and Aitchison norm between consecutive visits. I built a formal monitoring protocol that adds self-calibrated drift thresholds to exactly that approach. It would flag the visits where Burkholderia shifts and where Moraxella effects emerge automatically. Would that be useful for your clinical trial design?"</w:t>
            </w:r>
          </w:p>
        </w:tc>
      </w:tr>
    </w:tbl>
    <w:p>
      <w:pPr>
        <w:pStyle w:val="Heading2"/>
      </w:pPr>
      <w:r>
        <w:t xml:space="preserve">Key Points to Make</w:t>
      </w:r>
    </w:p>
    <w:p>
      <w:pPr>
        <w:spacing w:after="160" w:line="300"/>
      </w:pPr>
      <w:r>
        <w:rPr>
          <w:sz w:val="22"/>
          <w:szCs w:val="22"/>
        </w:rPr>
        <w:t xml:space="preserve">His 52-week data with 3-month intervals gives ~4–5 visit pairs per patient — enough for per-patient drift profiles. The μ+2σ threshold would work per treatment arm. Cumulative distance would separate responders from non-responders by trajectory shape. His conclusion that 'classical subtraction is mathematically inappropriate' is exactly your starting premise.</w:t>
      </w:r>
    </w:p>
    <w:p>
      <w:pPr>
        <w:pStyle w:val="Heading2"/>
      </w:pPr>
      <w:r>
        <w:t xml:space="preserve">EITT Bridge</w:t>
      </w:r>
    </w:p>
    <w:p>
      <w:pPr>
        <w:spacing w:after="160" w:line="300"/>
      </w:pPr>
      <w:r>
        <w:rPr>
          <w:sz w:val="22"/>
          <w:szCs w:val="22"/>
        </w:rPr>
        <w:t xml:space="preserve">If he asks about aggregating microbiome data across time scales (visit-level to monthly to trial-level), that opens the EITT door: what aggregation preserves the compositional signal his perturbation analysis depends on?</w:t>
      </w:r>
    </w:p>
    <w:p>
      <w:pPr>
        <w:pStyle w:val="Heading2"/>
      </w:pPr>
      <w:r>
        <w:t xml:space="preserve">Threat Level: None</w:t>
      </w:r>
    </w:p>
    <w:p>
      <w:pPr>
        <w:spacing w:after="160" w:line="300"/>
      </w:pPr>
      <w:r>
        <w:rPr>
          <w:sz w:val="22"/>
          <w:szCs w:val="22"/>
        </w:rPr>
        <w:t xml:space="preserve">Narayana is a natural ally. Different domain (microbiome vs energy), same tools, complementary contributions. He validates that perturbation-based monitoring works in clinical settings.</w:t>
      </w:r>
    </w:p>
    <w:p>
      <w:r>
        <w:br w:type="page"/>
      </w:r>
    </w:p>
    <w:p>
      <w:pPr>
        <w:pStyle w:val="Heading1"/>
      </w:pPr>
      <w:r>
        <w:t xml:space="preserve">2. Roberto Ascari &amp; Team</w:t>
      </w:r>
    </w:p>
    <w:p>
      <w:pPr>
        <w:spacing w:after="160" w:line="300"/>
      </w:pPr>
      <w:r>
        <w:rPr>
          <w:b/>
          <w:bCs/>
          <w:sz w:val="22"/>
          <w:szCs w:val="22"/>
        </w:rPr>
        <w:t xml:space="preserve">Affiliation: </w:t>
      </w:r>
      <w:r>
        <w:rPr>
          <w:sz w:val="22"/>
          <w:szCs w:val="22"/>
        </w:rPr>
        <w:t xml:space="preserve">University of Milano-Bicocca, Italy</w:t>
      </w:r>
    </w:p>
    <w:p>
      <w:pPr>
        <w:spacing w:after="160" w:line="300"/>
      </w:pPr>
      <w:r>
        <w:rPr>
          <w:b/>
          <w:bCs/>
          <w:sz w:val="22"/>
          <w:szCs w:val="22"/>
        </w:rPr>
        <w:t xml:space="preserve">Presenter: </w:t>
      </w:r>
      <w:r>
        <w:rPr>
          <w:sz w:val="22"/>
          <w:szCs w:val="22"/>
        </w:rPr>
        <w:t xml:space="preserve">Anna Maria Fiori (anna.fiori@unimib.it)</w:t>
      </w:r>
    </w:p>
    <w:p>
      <w:pPr>
        <w:spacing w:after="80"/>
      </w:pPr>
    </w:p>
    <w:p>
      <w:pPr>
        <w:pStyle w:val="Heading2"/>
      </w:pPr>
      <w:r>
        <w:t xml:space="preserve">Their Work</w:t>
      </w:r>
    </w:p>
    <w:p>
      <w:pPr>
        <w:spacing w:after="160" w:line="300"/>
      </w:pPr>
      <w:r>
        <w:rPr>
          <w:sz w:val="22"/>
          <w:szCs w:val="22"/>
        </w:rPr>
        <w:t xml:space="preserve">Compositional k-prototypes: clustering compositions with essential zeros. New dissimilarity measure combining Aitchison distance for regular parts with simple matching coefficients for categorical zero-pattern features. Applied to country-level energy-mix data where nuclear zeros are structural (countries that never built reactors). Uses Huang's k-prototype algorithm with CLR-transformed subcompositions for prototypes.</w:t>
      </w:r>
    </w:p>
    <w:p>
      <w:pPr>
        <w:pStyle w:val="Heading2"/>
      </w:pPr>
      <w:r>
        <w:t xml:space="preserve">Why They Need You</w:t>
      </w:r>
    </w:p>
    <w:p>
      <w:pPr>
        <w:spacing w:after="160" w:line="300"/>
      </w:pPr>
      <w:r>
        <w:rPr>
          <w:sz w:val="22"/>
          <w:szCs w:val="22"/>
        </w:rPr>
        <w:t xml:space="preserve">They cluster energy-mix compositions at a single point in time. Countries that look similar now get grouped together. But energy mixes change — Japan had nuclear, lost it, is getting it back. A country's cluster membership changes over time, and the zero pattern itself is dynamic. Their method cannot see the trajectory between snapshots.</w:t>
      </w:r>
    </w:p>
    <w:p>
      <w:pPr>
        <w:pStyle w:val="Heading2"/>
      </w:pPr>
      <w:r>
        <w:t xml:space="preserve">Conversation Opener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D7377" w:sz="12"/>
              <w:bottom w:val="single" w:color="DDDDDD" w:sz="1"/>
              <w:right w:val="single" w:color="DDDDDD" w:sz="1"/>
            </w:tcBorders>
            <w:shd w:fill="F4F7FA" w:val="clear"/>
            <w:tcMar>
              <w:top w:type="dxa" w:w="120"/>
              <w:left w:type="dxa" w:w="200"/>
              <w:bottom w:type="dxa" w:w="120"/>
              <w:right w:type="dxa" w:w="200"/>
            </w:tcMar>
          </w:tcPr>
          <w:p>
            <w:pPr>
              <w:spacing w:after="0" w:line="300"/>
            </w:pPr>
            <w:r>
              <w:rPr>
                <w:i/>
                <w:iCs/>
                <w:color w:val="0A1628"/>
                <w:sz w:val="22"/>
                <w:szCs w:val="22"/>
              </w:rPr>
              <w:t xml:space="preserve">"Your zero-handling for energy-mix clustering is elegant — I work in the same domain but track the compositions over time. Japan's nuclear zero after Fukushima shows up in my monitoring as the largest perturbation spike in the dataset, d_A = 9.05. That zero didn't exist in 2010 and might not exist by 2030. Might be interesting to see how your clusters evolve when the zero pattern itself is changing."</w:t>
            </w:r>
          </w:p>
        </w:tc>
      </w:tr>
    </w:tbl>
    <w:p>
      <w:pPr>
        <w:pStyle w:val="Heading2"/>
      </w:pPr>
      <w:r>
        <w:t xml:space="preserve">Key Points to Make</w:t>
      </w:r>
    </w:p>
    <w:p>
      <w:pPr>
        <w:spacing w:after="160" w:line="300"/>
      </w:pPr>
      <w:r>
        <w:rPr>
          <w:sz w:val="22"/>
          <w:szCs w:val="22"/>
        </w:rPr>
        <w:t xml:space="preserve">You share the same application domain — this is not abstract, you can compare country results directly. Your monitoring shows Germany moving steadily across the simplex (smooth cluster transition) while Japan undergoes a sudden structural break (instantaneous cluster jump). The UK shows sustained multi-year drift (gradual cluster migration). These are three different temporal signatures that their static clustering cannot distinguish.</w:t>
      </w:r>
    </w:p>
    <w:p>
      <w:pPr>
        <w:pStyle w:val="Heading2"/>
      </w:pPr>
      <w:r>
        <w:t xml:space="preserve">EITT Bridge</w:t>
      </w:r>
    </w:p>
    <w:p>
      <w:pPr>
        <w:spacing w:after="160" w:line="300"/>
      </w:pPr>
      <w:r>
        <w:rPr>
          <w:sz w:val="22"/>
          <w:szCs w:val="22"/>
        </w:rPr>
        <w:t xml:space="preserve">Less natural here. Park it unless they ask about temporal aggregation of the clustering features.</w:t>
      </w:r>
    </w:p>
    <w:p>
      <w:pPr>
        <w:pStyle w:val="Heading2"/>
      </w:pPr>
      <w:r>
        <w:t xml:space="preserve">Threat Level: Low</w:t>
      </w:r>
    </w:p>
    <w:p>
      <w:pPr>
        <w:spacing w:after="160" w:line="300"/>
      </w:pPr>
      <w:r>
        <w:rPr>
          <w:sz w:val="22"/>
          <w:szCs w:val="22"/>
        </w:rPr>
        <w:t xml:space="preserve">They solve a different problem (clustering vs monitoring). The overlap is the application domain. Position as complementary, not competing.</w:t>
      </w:r>
    </w:p>
    <w:p>
      <w:r>
        <w:br w:type="page"/>
      </w:r>
    </w:p>
    <w:p>
      <w:pPr>
        <w:pStyle w:val="Heading1"/>
      </w:pPr>
      <w:r>
        <w:t xml:space="preserve">3. Juan David Vega Baquero</w:t>
      </w:r>
    </w:p>
    <w:p>
      <w:pPr>
        <w:spacing w:after="160" w:line="300"/>
      </w:pPr>
      <w:r>
        <w:rPr>
          <w:b/>
          <w:bCs/>
          <w:sz w:val="22"/>
          <w:szCs w:val="22"/>
        </w:rPr>
        <w:t xml:space="preserve">Affiliation: </w:t>
      </w:r>
      <w:r>
        <w:rPr>
          <w:sz w:val="22"/>
          <w:szCs w:val="22"/>
        </w:rPr>
        <w:t xml:space="preserve">University of Barcelona, Spain</w:t>
      </w:r>
    </w:p>
    <w:p>
      <w:pPr>
        <w:spacing w:after="160" w:line="300"/>
      </w:pPr>
      <w:r>
        <w:rPr>
          <w:b/>
          <w:bCs/>
          <w:sz w:val="22"/>
          <w:szCs w:val="22"/>
        </w:rPr>
        <w:t xml:space="preserve">Email: </w:t>
      </w:r>
      <w:r>
        <w:rPr>
          <w:sz w:val="22"/>
          <w:szCs w:val="22"/>
        </w:rPr>
        <w:t xml:space="preserve">jvegabaq38@alumnes.ub.edu</w:t>
      </w:r>
    </w:p>
    <w:p>
      <w:pPr>
        <w:spacing w:after="80"/>
      </w:pPr>
    </w:p>
    <w:p>
      <w:pPr>
        <w:pStyle w:val="Heading2"/>
      </w:pPr>
      <w:r>
        <w:t xml:space="preserve">Their Work</w:t>
      </w:r>
    </w:p>
    <w:p>
      <w:pPr>
        <w:spacing w:after="160" w:line="300"/>
      </w:pPr>
      <w:r>
        <w:rPr>
          <w:sz w:val="22"/>
          <w:szCs w:val="22"/>
        </w:rPr>
        <w:t xml:space="preserve">Proportionality between portfolio allocations using Aitchison geometry. Five stocks from IBEX 35, Minimum Variance allocation via Markowitz. Three new proportionality indices: PIP (Proportionality Index of Parts), PPL (Pairwise Proportionality of Logratios), PPI (Pairwise Proportionality Index). All built on subcompositions of two components. Key finding: connection between stock volatility, allocation method, and proportionality.</w:t>
      </w:r>
    </w:p>
    <w:p>
      <w:pPr>
        <w:pStyle w:val="Heading2"/>
      </w:pPr>
      <w:r>
        <w:t xml:space="preserve">Why They Need You</w:t>
      </w:r>
    </w:p>
    <w:p>
      <w:pPr>
        <w:spacing w:after="160" w:line="300"/>
      </w:pPr>
      <w:r>
        <w:rPr>
          <w:sz w:val="22"/>
          <w:szCs w:val="22"/>
        </w:rPr>
        <w:t xml:space="preserve">A Minimum Variance portfolio is rebalanced regularly. Each rebalancing produces a new weight vector on the simplex. Vega Baquero assesses proportionality at a single allocation point. The natural next question is: how does proportionality evolve across rebalancing dates? When does the portfolio structure drift significantly? Your protocol answers this directly.</w:t>
      </w:r>
    </w:p>
    <w:p>
      <w:pPr>
        <w:pStyle w:val="Heading2"/>
      </w:pPr>
      <w:r>
        <w:t xml:space="preserve">Conversation Opener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D7377" w:sz="12"/>
              <w:bottom w:val="single" w:color="DDDDDD" w:sz="1"/>
              <w:right w:val="single" w:color="DDDDDD" w:sz="1"/>
            </w:tcBorders>
            <w:shd w:fill="F4F7FA" w:val="clear"/>
            <w:tcMar>
              <w:top w:type="dxa" w:w="120"/>
              <w:left w:type="dxa" w:w="200"/>
              <w:bottom w:type="dxa" w:w="120"/>
              <w:right w:type="dxa" w:w="200"/>
            </w:tcMar>
          </w:tcPr>
          <w:p>
            <w:pPr>
              <w:spacing w:after="0" w:line="300"/>
            </w:pPr>
            <w:r>
              <w:rPr>
                <w:i/>
                <w:iCs/>
                <w:color w:val="0A1628"/>
                <w:sz w:val="22"/>
                <w:szCs w:val="22"/>
              </w:rPr>
              <w:t xml:space="preserve">"Your proportionality indices on portfolio allocations — if you tracked PIP and PPL across rebalancing dates, you'd have a compositional time series. My protocol could flag when the allocation structure drifts beyond its own historical baseline. During high-volatility periods, does proportionality break down or is it surprisingly robust?"</w:t>
            </w:r>
          </w:p>
        </w:tc>
      </w:tr>
    </w:tbl>
    <w:p>
      <w:pPr>
        <w:pStyle w:val="Heading2"/>
      </w:pPr>
      <w:r>
        <w:t xml:space="preserve">Key Points to Make</w:t>
      </w:r>
    </w:p>
    <w:p>
      <w:pPr>
        <w:spacing w:after="160" w:line="300"/>
      </w:pPr>
      <w:r>
        <w:rPr>
          <w:sz w:val="22"/>
          <w:szCs w:val="22"/>
        </w:rPr>
        <w:t xml:space="preserve">Portfolio weights are compositions. Rebalancing dates create a time series. His volatility-proportionality connection becomes testable over time: do high-d_A rebalancing events (market stress) systematically change proportionality indices? The energy-mix analogy is direct: energy carriers are like stocks, national energy policy is like a portfolio optimiser, and structural transitions are like market crashes.</w:t>
      </w:r>
    </w:p>
    <w:p>
      <w:pPr>
        <w:pStyle w:val="Heading2"/>
      </w:pPr>
      <w:r>
        <w:t xml:space="preserve">EITT Bridge</w:t>
      </w:r>
    </w:p>
    <w:p>
      <w:pPr>
        <w:spacing w:after="160" w:line="300"/>
      </w:pPr>
      <w:r>
        <w:rPr>
          <w:sz w:val="22"/>
          <w:szCs w:val="22"/>
        </w:rPr>
        <w:t xml:space="preserve">This is the strongest EITT entry point of the four. When you aggregate portfolio returns across time scales (daily to monthly), the choice of mean matters. Geometric mean preserves the log-ratio structure. Arithmetic destroys it. If he asks about temporal aggregation: 'That's actually an open question I'm working on — what must be invariant when you aggregate compositions across time?'</w:t>
      </w:r>
    </w:p>
    <w:p>
      <w:pPr>
        <w:pStyle w:val="Heading2"/>
      </w:pPr>
      <w:r>
        <w:t xml:space="preserve">Threat Level: None</w:t>
      </w:r>
    </w:p>
    <w:p>
      <w:pPr>
        <w:spacing w:after="160" w:line="300"/>
      </w:pPr>
      <w:r>
        <w:rPr>
          <w:sz w:val="22"/>
          <w:szCs w:val="22"/>
        </w:rPr>
        <w:t xml:space="preserve">Completely different application (finance vs energy). He would be a collaborator, not a competitor. His Barcelona affiliation puts him close to the CoDa tradition (Girona, Egozcue, Pawlowsky-Glahn).</w:t>
      </w:r>
    </w:p>
    <w:p>
      <w:r>
        <w:br w:type="page"/>
      </w:r>
    </w:p>
    <w:p>
      <w:pPr>
        <w:pStyle w:val="Heading1"/>
      </w:pPr>
      <w:r>
        <w:t xml:space="preserve">4. Ananya Kanjiradan Veetil</w:t>
      </w:r>
    </w:p>
    <w:p>
      <w:pPr>
        <w:spacing w:after="160" w:line="300"/>
      </w:pPr>
      <w:r>
        <w:rPr>
          <w:b/>
          <w:bCs/>
          <w:sz w:val="22"/>
          <w:szCs w:val="22"/>
        </w:rPr>
        <w:t xml:space="preserve">Affiliation: </w:t>
      </w:r>
      <w:r>
        <w:rPr>
          <w:sz w:val="22"/>
          <w:szCs w:val="22"/>
        </w:rPr>
        <w:t xml:space="preserve">International Institute for Population Sciences, India</w:t>
      </w:r>
    </w:p>
    <w:p>
      <w:pPr>
        <w:spacing w:after="160" w:line="300"/>
      </w:pPr>
      <w:r>
        <w:rPr>
          <w:b/>
          <w:bCs/>
          <w:sz w:val="22"/>
          <w:szCs w:val="22"/>
        </w:rPr>
        <w:t xml:space="preserve">Email: </w:t>
      </w:r>
      <w:r>
        <w:rPr>
          <w:sz w:val="22"/>
          <w:szCs w:val="22"/>
        </w:rPr>
        <w:t xml:space="preserve">kvananya1999@gmail.com</w:t>
      </w:r>
    </w:p>
    <w:p>
      <w:pPr>
        <w:spacing w:after="80"/>
      </w:pPr>
    </w:p>
    <w:p>
      <w:pPr>
        <w:pStyle w:val="Heading2"/>
      </w:pPr>
      <w:r>
        <w:t xml:space="preserve">Their Work</w:t>
      </w:r>
    </w:p>
    <w:p>
      <w:pPr>
        <w:spacing w:after="160" w:line="300"/>
      </w:pPr>
      <w:r>
        <w:rPr>
          <w:sz w:val="22"/>
          <w:szCs w:val="22"/>
        </w:rPr>
        <w:t xml:space="preserve">Female cancer mortality in India (1980–2021) as a composition: breast, cervix, and oral cancers across six regions. Uses CoDa with log-ratio transformations, VAR models for temporal dynamics, and projections to 2031. Key finding: breast cancer overtook cervix at different time points in different regions. Oral cancer shows regional heterogeneity. The cancer transition is a compositional reorganisation, not just individual trends.</w:t>
      </w:r>
    </w:p>
    <w:p>
      <w:pPr>
        <w:pStyle w:val="Heading2"/>
      </w:pPr>
      <w:r>
        <w:t xml:space="preserve">Why They Need You</w:t>
      </w:r>
    </w:p>
    <w:p>
      <w:pPr>
        <w:spacing w:after="160" w:line="300"/>
      </w:pPr>
      <w:r>
        <w:rPr>
          <w:sz w:val="22"/>
          <w:szCs w:val="22"/>
        </w:rPr>
        <w:t xml:space="preserve">Kanjiradan Veetil already has a compositional time series — one of very few at CoDaWork. But their approach is forecasting (VAR projection), not detection. They describe the crossover narratively ('breast overtook cervix') without formally measuring the magnitude or timing of the transition as a perturbation event. Your protocol adds the detection layer their forecasting approach lacks.</w:t>
      </w:r>
    </w:p>
    <w:p>
      <w:pPr>
        <w:pStyle w:val="Heading2"/>
      </w:pPr>
      <w:r>
        <w:t xml:space="preserve">Conversation Opener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D7377" w:sz="12"/>
              <w:bottom w:val="single" w:color="DDDDDD" w:sz="1"/>
              <w:right w:val="single" w:color="DDDDDD" w:sz="1"/>
            </w:tcBorders>
            <w:shd w:fill="F4F7FA" w:val="clear"/>
            <w:tcMar>
              <w:top w:type="dxa" w:w="120"/>
              <w:left w:type="dxa" w:w="200"/>
              <w:bottom w:type="dxa" w:w="120"/>
              <w:right w:type="dxa" w:w="200"/>
            </w:tcMar>
          </w:tcPr>
          <w:p>
            <w:pPr>
              <w:spacing w:after="0" w:line="300"/>
            </w:pPr>
            <w:r>
              <w:rPr>
                <w:i/>
                <w:iCs/>
                <w:color w:val="0A1628"/>
                <w:sz w:val="22"/>
                <w:szCs w:val="22"/>
              </w:rPr>
              <w:t xml:space="preserve">"I noticed you're doing compositional time series on cancer mortality — there aren't many of us at this workshop doing time series at all. I'm doing the same on energy mix. My protocol adds perturbation-based drift detection — it would formally flag the year breast overtook cervix in each of your regions and quantify how fast the transition happened. Might be interesting to compare VAR forecasting with drift detection."</w:t>
            </w:r>
          </w:p>
        </w:tc>
      </w:tr>
    </w:tbl>
    <w:p>
      <w:pPr>
        <w:pStyle w:val="Heading2"/>
      </w:pPr>
      <w:r>
        <w:t xml:space="preserve">Key Points to Make</w:t>
      </w:r>
    </w:p>
    <w:p>
      <w:pPr>
        <w:spacing w:after="160" w:line="300"/>
      </w:pPr>
      <w:r>
        <w:rPr>
          <w:sz w:val="22"/>
          <w:szCs w:val="22"/>
        </w:rPr>
        <w:t xml:space="preserve">Their data is ideal for the protocol: low-dimensional (3 parts on 2-simplex), long time span (40 years), clear transition narrative, regional variation in transition speed. The protocol would turn 'the speed of transition differs across regions' from a qualitative observation into a quantitative measurement (different d_A profiles). Effective diversity N_eff tracks concentration: when breast cancer dominates, N_eff drops toward 1. VAR forecasts destination; the monitoring protocol characterises the journey.</w:t>
      </w:r>
    </w:p>
    <w:p>
      <w:pPr>
        <w:pStyle w:val="Heading2"/>
      </w:pPr>
      <w:r>
        <w:t xml:space="preserve">EITT Bridge</w:t>
      </w:r>
    </w:p>
    <w:p>
      <w:pPr>
        <w:spacing w:after="160" w:line="300"/>
      </w:pPr>
      <w:r>
        <w:rPr>
          <w:sz w:val="22"/>
          <w:szCs w:val="22"/>
        </w:rPr>
        <w:t xml:space="preserve">Moderate. If they aggregate mortality data across time periods (annual to 5-year), the aggregation method matters. But this is secondary to the drift-detection conversation.</w:t>
      </w:r>
    </w:p>
    <w:p>
      <w:pPr>
        <w:pStyle w:val="Heading2"/>
      </w:pPr>
      <w:r>
        <w:t xml:space="preserve">Threat Level: None</w:t>
      </w:r>
    </w:p>
    <w:p>
      <w:pPr>
        <w:spacing w:after="160" w:line="300"/>
      </w:pPr>
      <w:r>
        <w:rPr>
          <w:sz w:val="22"/>
          <w:szCs w:val="22"/>
        </w:rPr>
        <w:t xml:space="preserve">They are the friendliest entry point. Same methodology (compositional time series), completely different domain (cancer vs energy), complementary approach (forecasting vs detection). Your page 25, their page 26 in the proceedings — literal neighbours.</w:t>
      </w:r>
    </w:p>
    <w:p>
      <w:r>
        <w:br w:type="page"/>
      </w:r>
    </w:p>
    <w:p>
      <w:pPr>
        <w:pStyle w:val="Heading1"/>
      </w:pPr>
      <w:r>
        <w:t xml:space="preserve">General Strategy</w:t>
      </w:r>
    </w:p>
    <w:p>
      <w:pPr>
        <w:pStyle w:val="Heading2"/>
      </w:pPr>
      <w:r>
        <w:t xml:space="preserve">The Hierarchy of Engagement</w:t>
      </w:r>
    </w:p>
    <w:p>
      <w:pPr>
        <w:spacing w:after="160" w:line="300"/>
      </w:pPr>
      <w:r>
        <w:rPr>
          <w:b/>
          <w:bCs/>
          <w:sz w:val="22"/>
          <w:szCs w:val="22"/>
        </w:rPr>
        <w:t xml:space="preserve">Priority 1 — Narayana: </w:t>
      </w:r>
      <w:r>
        <w:rPr>
          <w:sz w:val="22"/>
          <w:szCs w:val="22"/>
        </w:rPr>
        <w:t xml:space="preserve">Already uses your exact tools. Immediate technical conversation. Hand primer first.</w:t>
      </w:r>
    </w:p>
    <w:p>
      <w:pPr>
        <w:spacing w:after="160" w:line="300"/>
      </w:pPr>
      <w:r>
        <w:rPr>
          <w:b/>
          <w:bCs/>
          <w:sz w:val="22"/>
          <w:szCs w:val="22"/>
        </w:rPr>
        <w:t xml:space="preserve">Priority 2 — Kanjiradan Veetil: </w:t>
      </w:r>
      <w:r>
        <w:rPr>
          <w:sz w:val="22"/>
          <w:szCs w:val="22"/>
        </w:rPr>
        <w:t xml:space="preserve">Already doing compositional time series. Methodological kinship. Natural ally.</w:t>
      </w:r>
    </w:p>
    <w:p>
      <w:pPr>
        <w:spacing w:after="160" w:line="300"/>
      </w:pPr>
      <w:r>
        <w:rPr>
          <w:b/>
          <w:bCs/>
          <w:sz w:val="22"/>
          <w:szCs w:val="22"/>
        </w:rPr>
        <w:t xml:space="preserve">Priority 3 — Ascari team: </w:t>
      </w:r>
      <w:r>
        <w:rPr>
          <w:sz w:val="22"/>
          <w:szCs w:val="22"/>
        </w:rPr>
        <w:t xml:space="preserve">Same application domain. Complementary (clustering vs monitoring). Interesting zero-handling crossover.</w:t>
      </w:r>
    </w:p>
    <w:p>
      <w:pPr>
        <w:spacing w:after="160" w:line="300"/>
      </w:pPr>
      <w:r>
        <w:rPr>
          <w:b/>
          <w:bCs/>
          <w:sz w:val="22"/>
          <w:szCs w:val="22"/>
        </w:rPr>
        <w:t xml:space="preserve">Priority 4 — Vega Baquero: </w:t>
      </w:r>
      <w:r>
        <w:rPr>
          <w:sz w:val="22"/>
          <w:szCs w:val="22"/>
        </w:rPr>
        <w:t xml:space="preserve">Best EITT bridge. Finance connection. Longer-term collaboration potential.</w:t>
      </w:r>
    </w:p>
    <w:p>
      <w:pPr>
        <w:spacing w:after="80"/>
      </w:pPr>
    </w:p>
    <w:p>
      <w:pPr>
        <w:pStyle w:val="Heading2"/>
      </w:pPr>
      <w:r>
        <w:t xml:space="preserve">Rules of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D7377" w:sz="12"/>
              <w:bottom w:val="single" w:color="DDDDDD" w:sz="1"/>
              <w:right w:val="single" w:color="DDDDDD" w:sz="1"/>
            </w:tcBorders>
            <w:shd w:fill="F4F7FA" w:val="clear"/>
            <w:tcMar>
              <w:top w:type="dxa" w:w="120"/>
              <w:left w:type="dxa" w:w="200"/>
              <w:bottom w:type="dxa" w:w="120"/>
              <w:right w:type="dxa" w:w="200"/>
            </w:tcMar>
          </w:tcPr>
          <w:p>
            <w:pPr>
              <w:spacing w:after="0" w:line="300"/>
            </w:pPr>
            <w:r>
              <w:rPr>
                <w:i/>
                <w:iCs/>
                <w:color w:val="0A1628"/>
                <w:sz w:val="22"/>
                <w:szCs w:val="22"/>
              </w:rPr>
              <w:t xml:space="preserve">1. Start with their work, not yours. Show you read their abstract carefully.
2. Offer the protocol as a solution to a problem they already have.
3. Hand them the printed primer only after the conversation is established.
4. Never volunteer quantum, EITT, or HUF unless they ask the right question.
5. If they ask about aggregation or decimation, that's your EITT opening.
6. If they ask 'what else are you working on?' — mention the open question about N_eff vs Aitchison norm.
7. Let them come to you.</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A16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2026-04-13T19:29:31.521Z</dcterms:created>
  <dcterms:modified xsi:type="dcterms:W3CDTF">2026-04-13T19:29:31.521Z</dcterms:modified>
</cp:coreProperties>
</file>

<file path=docProps/custom.xml><?xml version="1.0" encoding="utf-8"?>
<Properties xmlns="http://schemas.openxmlformats.org/officeDocument/2006/custom-properties" xmlns:vt="http://schemas.openxmlformats.org/officeDocument/2006/docPropsVTypes"/>
</file>