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1F4E79"/>
          <w:sz w:val="32"/>
          <w:szCs w:val="32"/>
        </w:rPr>
        <w:t xml:space="preserve">Anticipated Questions &amp; Prepared Answers</w:t>
      </w:r>
    </w:p>
    <w:p>
      <w:pPr>
        <w:spacing w:after="40"/>
        <w:jc w:val="center"/>
      </w:pPr>
      <w:r>
        <w:rPr>
          <w:rFonts w:ascii="Arial" w:cs="Arial" w:eastAsia="Arial" w:hAnsi="Arial"/>
          <w:i/>
          <w:iCs/>
          <w:sz w:val="22"/>
          <w:szCs w:val="22"/>
        </w:rPr>
        <w:t xml:space="preserve">CoDaWork 2026 — Compositional Monitoring of Energy-Mix Drift on the Simplex</w:t>
      </w:r>
    </w:p>
    <w:p>
      <w:pPr>
        <w:spacing w:after="20"/>
        <w:jc w:val="center"/>
      </w:pPr>
      <w:r>
        <w:rPr>
          <w:rFonts w:ascii="Arial" w:cs="Arial" w:eastAsia="Arial" w:hAnsi="Arial"/>
          <w:sz w:val="22"/>
          <w:szCs w:val="22"/>
        </w:rPr>
        <w:t xml:space="preserve">Peter Higgins — Rogue Wave Audio</w:t>
      </w:r>
    </w:p>
    <w:p>
      <w:pPr>
        <w:pBdr>
          <w:bottom w:val="single" w:color="F09819" w:sz="4" w:space="4"/>
        </w:pBdr>
        <w:spacing w:after="160"/>
        <w:jc w:val="center"/>
      </w:pPr>
      <w:r>
        <w:rPr>
          <w:rFonts w:ascii="Arial" w:cs="Arial" w:eastAsia="Arial" w:hAnsi="Arial"/>
          <w:i/>
          <w:iCs/>
          <w:color w:val="DC2626"/>
          <w:sz w:val="18"/>
          <w:szCs w:val="18"/>
        </w:rPr>
        <w:t xml:space="preserve">Speaker’s copy. Not for distribution.</w:t>
      </w:r>
    </w:p>
    <w:p>
      <w:pPr>
        <w:pStyle w:val="Heading1"/>
        <w:spacing w:after="80" w:before="300"/>
      </w:pPr>
      <w:r>
        <w:rPr>
          <w:rFonts w:ascii="Arial" w:cs="Arial" w:eastAsia="Arial" w:hAnsi="Arial"/>
          <w:b/>
          <w:bCs/>
          <w:color w:val="1F4E79"/>
          <w:sz w:val="28"/>
          <w:szCs w:val="28"/>
        </w:rPr>
        <w:t xml:space="preserve">1. Methodology Questions</w:t>
      </w:r>
    </w:p>
    <w:p>
      <w:pPr>
        <w:pBdr>
          <w:left w:val="single" w:color="F09819" w:sz="12" w:space="8"/>
        </w:pBdr>
        <w:spacing w:after="60" w:before="200"/>
      </w:pPr>
      <w:r>
        <w:rPr>
          <w:rFonts w:ascii="Arial" w:cs="Arial" w:eastAsia="Arial" w:hAnsi="Arial"/>
          <w:b/>
          <w:bCs/>
          <w:color w:val="F09819"/>
          <w:sz w:val="22"/>
          <w:szCs w:val="22"/>
        </w:rPr>
        <w:t xml:space="preserve">Q: </w:t>
      </w:r>
      <w:r>
        <w:rPr>
          <w:rFonts w:ascii="Arial" w:cs="Arial" w:eastAsia="Arial" w:hAnsi="Arial"/>
          <w:i/>
          <w:iCs/>
          <w:color w:val="1F4E79"/>
          <w:sz w:val="22"/>
          <w:szCs w:val="22"/>
        </w:rPr>
        <w:t xml:space="preserve">Why perturbation and not simple differences? We use differences all the time.</w:t>
      </w:r>
    </w:p>
    <w:p>
      <w:pPr>
        <w:spacing w:after="100" w:line="276"/>
        <w:jc w:val="left"/>
      </w:pPr>
      <w:r>
        <w:rPr>
          <w:rFonts w:ascii="Arial" w:cs="Arial" w:eastAsia="Arial" w:hAnsi="Arial"/>
          <w:sz w:val="22"/>
          <w:szCs w:val="22"/>
        </w:rPr>
        <w:t xml:space="preserve">Because energy-mix shares are compositional — they live on the simplex, not in Euclidean space. Arithmetic differences between proportions are distorted by the constant-sum constraint: if coal drops 10 percentage points, those 10 points </w:t>
      </w:r>
      <w:r>
        <w:rPr>
          <w:rFonts w:ascii="Arial" w:cs="Arial" w:eastAsia="Arial" w:hAnsi="Arial"/>
          <w:i/>
          <w:iCs/>
          <w:sz w:val="22"/>
          <w:szCs w:val="22"/>
        </w:rPr>
        <w:t xml:space="preserve">must</w:t>
      </w:r>
      <w:r>
        <w:rPr>
          <w:rFonts w:ascii="Arial" w:cs="Arial" w:eastAsia="Arial" w:hAnsi="Arial"/>
          <w:sz w:val="22"/>
          <w:szCs w:val="22"/>
        </w:rPr>
        <w:t xml:space="preserve"> go somewhere else, creating a spurious negative correlation between coal and everything else. Perturbation is the Aitchison-group operation that respects this geometry. It measures the </w:t>
      </w:r>
      <w:r>
        <w:rPr>
          <w:rFonts w:ascii="Arial" w:cs="Arial" w:eastAsia="Arial" w:hAnsi="Arial"/>
          <w:i/>
          <w:iCs/>
          <w:sz w:val="22"/>
          <w:szCs w:val="22"/>
        </w:rPr>
        <w:t xml:space="preserve">ratio</w:t>
      </w:r>
      <w:r>
        <w:rPr>
          <w:rFonts w:ascii="Arial" w:cs="Arial" w:eastAsia="Arial" w:hAnsi="Arial"/>
          <w:sz w:val="22"/>
          <w:szCs w:val="22"/>
        </w:rPr>
        <w:t xml:space="preserve"> of proportional change in each carrier, then re-closes. It’s the difference that belongs on the simplex, the same way vector subtraction belongs in Euclidean space. Aitchison established this in 1986 — it’s the standard CoDa operation. I’m simply applying it to time.</w:t>
      </w:r>
    </w:p>
    <w:p>
      <w:pPr>
        <w:pBdr>
          <w:left w:val="single" w:color="F09819" w:sz="12" w:space="8"/>
        </w:pBdr>
        <w:spacing w:after="60" w:before="200"/>
      </w:pPr>
      <w:r>
        <w:rPr>
          <w:rFonts w:ascii="Arial" w:cs="Arial" w:eastAsia="Arial" w:hAnsi="Arial"/>
          <w:b/>
          <w:bCs/>
          <w:color w:val="F09819"/>
          <w:sz w:val="22"/>
          <w:szCs w:val="22"/>
        </w:rPr>
        <w:t xml:space="preserve">Q: </w:t>
      </w:r>
      <w:r>
        <w:rPr>
          <w:rFonts w:ascii="Arial" w:cs="Arial" w:eastAsia="Arial" w:hAnsi="Arial"/>
          <w:i/>
          <w:iCs/>
          <w:color w:val="1F4E79"/>
          <w:sz w:val="22"/>
          <w:szCs w:val="22"/>
        </w:rPr>
        <w:t xml:space="preserve">Why Aitchison distance and not Euclidean or Bray-Curtis?</w:t>
      </w:r>
    </w:p>
    <w:p>
      <w:pPr>
        <w:spacing w:after="100" w:line="276"/>
        <w:jc w:val="left"/>
      </w:pPr>
      <w:r>
        <w:rPr>
          <w:rFonts w:ascii="Arial" w:cs="Arial" w:eastAsia="Arial" w:hAnsi="Arial"/>
          <w:sz w:val="22"/>
          <w:szCs w:val="22"/>
        </w:rPr>
        <w:t xml:space="preserve">Aitchison distance is the </w:t>
      </w:r>
      <w:r>
        <w:rPr>
          <w:rFonts w:ascii="Arial" w:cs="Arial" w:eastAsia="Arial" w:hAnsi="Arial"/>
          <w:i/>
          <w:iCs/>
          <w:sz w:val="22"/>
          <w:szCs w:val="22"/>
        </w:rPr>
        <w:t xml:space="preserve">natural metric</w:t>
      </w:r>
      <w:r>
        <w:rPr>
          <w:rFonts w:ascii="Arial" w:cs="Arial" w:eastAsia="Arial" w:hAnsi="Arial"/>
          <w:sz w:val="22"/>
          <w:szCs w:val="22"/>
        </w:rPr>
        <w:t xml:space="preserve"> on the simplex. It’s invariant under perturbation, permutation, and subcomposition — the three properties you need for compositional data. Euclidean distance in proportion space violates all three: it’s dominated by the largest components, it’s sensitive to which carriers you include, and it doesn’t respect the simplex boundary. Bray-Curtis is better for ecology but it’s not derived from the Aitchison geometry, so it doesn’t give you the clean decomposition into CLR coordinates that makes the perturbation norm equal the distance. That identity — d_A(x,y) = ‖Δ‖_A — is what makes the protocol self-consistent.</w:t>
      </w:r>
    </w:p>
    <w:p>
      <w:pPr>
        <w:pBdr>
          <w:left w:val="single" w:color="F09819" w:sz="12" w:space="8"/>
        </w:pBdr>
        <w:spacing w:after="60" w:before="200"/>
      </w:pPr>
      <w:r>
        <w:rPr>
          <w:rFonts w:ascii="Arial" w:cs="Arial" w:eastAsia="Arial" w:hAnsi="Arial"/>
          <w:b/>
          <w:bCs/>
          <w:color w:val="F09819"/>
          <w:sz w:val="22"/>
          <w:szCs w:val="22"/>
        </w:rPr>
        <w:t xml:space="preserve">Q: </w:t>
      </w:r>
      <w:r>
        <w:rPr>
          <w:rFonts w:ascii="Arial" w:cs="Arial" w:eastAsia="Arial" w:hAnsi="Arial"/>
          <w:i/>
          <w:iCs/>
          <w:color w:val="1F4E79"/>
          <w:sz w:val="22"/>
          <w:szCs w:val="22"/>
        </w:rPr>
        <w:t xml:space="preserve">Why the μ+2σ threshold? That seems arbitrary.</w:t>
      </w:r>
    </w:p>
    <w:p>
      <w:pPr>
        <w:spacing w:after="100" w:line="276"/>
        <w:jc w:val="left"/>
      </w:pPr>
      <w:r>
        <w:rPr>
          <w:rFonts w:ascii="Arial" w:cs="Arial" w:eastAsia="Arial" w:hAnsi="Arial"/>
          <w:sz w:val="22"/>
          <w:szCs w:val="22"/>
        </w:rPr>
        <w:t xml:space="preserve">It’s deliberately simple and deliberately country-specific. The threshold is calibrated from each country’s </w:t>
      </w:r>
      <w:r>
        <w:rPr>
          <w:rFonts w:ascii="Arial" w:cs="Arial" w:eastAsia="Arial" w:hAnsi="Arial"/>
          <w:i/>
          <w:iCs/>
          <w:sz w:val="22"/>
          <w:szCs w:val="22"/>
        </w:rPr>
        <w:t xml:space="preserve">own</w:t>
      </w:r>
      <w:r>
        <w:rPr>
          <w:rFonts w:ascii="Arial" w:cs="Arial" w:eastAsia="Arial" w:hAnsi="Arial"/>
          <w:sz w:val="22"/>
          <w:szCs w:val="22"/>
        </w:rPr>
        <w:t xml:space="preserve"> distribution of year-on-year distances, so it adapts to the baseline rate of change. Germany has larger routine fluctuations than the UK, so its threshold is higher. The μ+2σ rule flags events that are anomalous </w:t>
      </w:r>
      <w:r>
        <w:rPr>
          <w:rFonts w:ascii="Arial" w:cs="Arial" w:eastAsia="Arial" w:hAnsi="Arial"/>
          <w:i/>
          <w:iCs/>
          <w:sz w:val="22"/>
          <w:szCs w:val="22"/>
        </w:rPr>
        <w:t xml:space="preserve">relative to that country’s normal behaviour</w:t>
      </w:r>
      <w:r>
        <w:rPr>
          <w:rFonts w:ascii="Arial" w:cs="Arial" w:eastAsia="Arial" w:hAnsi="Arial"/>
          <w:sz w:val="22"/>
          <w:szCs w:val="22"/>
        </w:rPr>
        <w:t xml:space="preserve">. You could use a different percentile or a robust estimator — the protocol is agnostic to the threshold rule. The point is that the distance measure is compositionally correct; the flagging rule is a policy choice layered on top.</w:t>
      </w:r>
    </w:p>
    <w:p>
      <w:pPr>
        <w:pBdr>
          <w:left w:val="single" w:color="F09819" w:sz="12" w:space="8"/>
        </w:pBdr>
        <w:spacing w:after="60" w:before="200"/>
      </w:pPr>
      <w:r>
        <w:rPr>
          <w:rFonts w:ascii="Arial" w:cs="Arial" w:eastAsia="Arial" w:hAnsi="Arial"/>
          <w:b/>
          <w:bCs/>
          <w:color w:val="F09819"/>
          <w:sz w:val="22"/>
          <w:szCs w:val="22"/>
        </w:rPr>
        <w:t xml:space="preserve">Q: </w:t>
      </w:r>
      <w:r>
        <w:rPr>
          <w:rFonts w:ascii="Arial" w:cs="Arial" w:eastAsia="Arial" w:hAnsi="Arial"/>
          <w:i/>
          <w:iCs/>
          <w:color w:val="1F4E79"/>
          <w:sz w:val="22"/>
          <w:szCs w:val="22"/>
        </w:rPr>
        <w:t xml:space="preserve">How do you handle zeros? Solar was zero in 2000 for all three countries.</w:t>
      </w:r>
    </w:p>
    <w:p>
      <w:pPr>
        <w:spacing w:after="100" w:line="276"/>
        <w:jc w:val="left"/>
      </w:pPr>
      <w:r>
        <w:rPr>
          <w:rFonts w:ascii="Arial" w:cs="Arial" w:eastAsia="Arial" w:hAnsi="Arial"/>
          <w:sz w:val="22"/>
          <w:szCs w:val="22"/>
        </w:rPr>
        <w:t xml:space="preserve">Multiplicative zero replacement with δ = 10⁻⁶, following Martín-Fernández, Barceló-Vidal &amp; Pawlowsky-Glahn (2003). The zero components get a small positive value; the non-zero components are rescaled so the ratios among them are preserved and the composition still closes to 1. Solar at 10⁻⁶ means “present at replacement level” — it’s there so the log-ratios are defined, but it contributes negligibly to the distance calculations. As solar grows from replacement to 18% (Germany 2025), that growth is captured faithfully. The Ascari group here at CoDaWork is presenting on energy-mix clustering with essential zeros — their k-prototypes method would be a natural complement to this protocol for countries where carriers are genuinely absent.</w:t>
      </w:r>
    </w:p>
    <w:p>
      <w:pPr>
        <w:pBdr>
          <w:left w:val="single" w:color="F09819" w:sz="12" w:space="8"/>
        </w:pBdr>
        <w:spacing w:after="60" w:before="200"/>
      </w:pPr>
      <w:r>
        <w:rPr>
          <w:rFonts w:ascii="Arial" w:cs="Arial" w:eastAsia="Arial" w:hAnsi="Arial"/>
          <w:b/>
          <w:bCs/>
          <w:color w:val="F09819"/>
          <w:sz w:val="22"/>
          <w:szCs w:val="22"/>
        </w:rPr>
        <w:t xml:space="preserve">Q: </w:t>
      </w:r>
      <w:r>
        <w:rPr>
          <w:rFonts w:ascii="Arial" w:cs="Arial" w:eastAsia="Arial" w:hAnsi="Arial"/>
          <w:i/>
          <w:iCs/>
          <w:color w:val="1F4E79"/>
          <w:sz w:val="22"/>
          <w:szCs w:val="22"/>
        </w:rPr>
        <w:t xml:space="preserve">Why these three countries? Isn’t that cherry-picking?</w:t>
      </w:r>
    </w:p>
    <w:p>
      <w:pPr>
        <w:spacing w:after="100" w:line="276"/>
        <w:jc w:val="left"/>
      </w:pPr>
      <w:r>
        <w:rPr>
          <w:rFonts w:ascii="Arial" w:cs="Arial" w:eastAsia="Arial" w:hAnsi="Arial"/>
          <w:sz w:val="22"/>
          <w:szCs w:val="22"/>
        </w:rPr>
        <w:t xml:space="preserve">Deliberately chosen for </w:t>
      </w:r>
      <w:r>
        <w:rPr>
          <w:rFonts w:ascii="Arial" w:cs="Arial" w:eastAsia="Arial" w:hAnsi="Arial"/>
          <w:i/>
          <w:iCs/>
          <w:sz w:val="22"/>
          <w:szCs w:val="22"/>
        </w:rPr>
        <w:t xml:space="preserve">documented, well-known</w:t>
      </w:r>
      <w:r>
        <w:rPr>
          <w:rFonts w:ascii="Arial" w:cs="Arial" w:eastAsia="Arial" w:hAnsi="Arial"/>
          <w:sz w:val="22"/>
          <w:szCs w:val="22"/>
        </w:rPr>
        <w:t xml:space="preserve"> energy transitions: Fukushima (Japan), Energiewende (Germany), coal exit (UK). The point is falsifiability — if the protocol’s drift flags didn’t land on these known events, the method would be suspect. They all do. The protocol runs on any country in the EMBER dataset — 215 countries and territories, same nine carriers. Extending to France, China, India, the US is straightforward; these three are proof-of-concept, not the limit.</w:t>
      </w:r>
    </w:p>
    <w:p>
      <w:r>
        <w:br w:type="page"/>
      </w:r>
    </w:p>
    <w:p>
      <w:pPr>
        <w:pStyle w:val="Heading1"/>
        <w:spacing w:after="80" w:before="300"/>
      </w:pPr>
      <w:r>
        <w:rPr>
          <w:rFonts w:ascii="Arial" w:cs="Arial" w:eastAsia="Arial" w:hAnsi="Arial"/>
          <w:b/>
          <w:bCs/>
          <w:color w:val="1F4E79"/>
          <w:sz w:val="28"/>
          <w:szCs w:val="28"/>
        </w:rPr>
        <w:t xml:space="preserve">2. Results Questions</w:t>
      </w:r>
    </w:p>
    <w:p>
      <w:pPr>
        <w:pBdr>
          <w:left w:val="single" w:color="F09819" w:sz="12" w:space="8"/>
        </w:pBdr>
        <w:spacing w:after="60" w:before="200"/>
      </w:pPr>
      <w:r>
        <w:rPr>
          <w:rFonts w:ascii="Arial" w:cs="Arial" w:eastAsia="Arial" w:hAnsi="Arial"/>
          <w:b/>
          <w:bCs/>
          <w:color w:val="F09819"/>
          <w:sz w:val="22"/>
          <w:szCs w:val="22"/>
        </w:rPr>
        <w:t xml:space="preserve">Q: </w:t>
      </w:r>
      <w:r>
        <w:rPr>
          <w:rFonts w:ascii="Arial" w:cs="Arial" w:eastAsia="Arial" w:hAnsi="Arial"/>
          <w:i/>
          <w:iCs/>
          <w:color w:val="1F4E79"/>
          <w:sz w:val="22"/>
          <w:szCs w:val="22"/>
        </w:rPr>
        <w:t xml:space="preserve">Japan’s biggest flags are 2013→2014 and 2014→2015, not 2011→2012 when Fukushima actually happened. Why the lag?</w:t>
      </w:r>
    </w:p>
    <w:p>
      <w:pPr>
        <w:spacing w:after="100" w:line="276"/>
        <w:jc w:val="left"/>
      </w:pPr>
      <w:r>
        <w:rPr>
          <w:rFonts w:ascii="Arial" w:cs="Arial" w:eastAsia="Arial" w:hAnsi="Arial"/>
          <w:sz w:val="22"/>
          <w:szCs w:val="22"/>
        </w:rPr>
        <w:t xml:space="preserve">Because the Fukushima disaster happened in March 2011 — nine months of that year still had some nuclear generation. The full compositional effect — near-zero nuclear for the </w:t>
      </w:r>
      <w:r>
        <w:rPr>
          <w:rFonts w:ascii="Arial" w:cs="Arial" w:eastAsia="Arial" w:hAnsi="Arial"/>
          <w:i/>
          <w:iCs/>
          <w:sz w:val="22"/>
          <w:szCs w:val="22"/>
        </w:rPr>
        <w:t xml:space="preserve">entire</w:t>
      </w:r>
      <w:r>
        <w:rPr>
          <w:rFonts w:ascii="Arial" w:cs="Arial" w:eastAsia="Arial" w:hAnsi="Arial"/>
          <w:sz w:val="22"/>
          <w:szCs w:val="22"/>
        </w:rPr>
        <w:t xml:space="preserve"> year — only shows up in the 2013 and 2014 annual data. This is actually a strength: the protocol measures what the </w:t>
      </w:r>
      <w:r>
        <w:rPr>
          <w:rFonts w:ascii="Arial" w:cs="Arial" w:eastAsia="Arial" w:hAnsi="Arial"/>
          <w:i/>
          <w:iCs/>
          <w:sz w:val="22"/>
          <w:szCs w:val="22"/>
        </w:rPr>
        <w:t xml:space="preserve">composition</w:t>
      </w:r>
      <w:r>
        <w:rPr>
          <w:rFonts w:ascii="Arial" w:cs="Arial" w:eastAsia="Arial" w:hAnsi="Arial"/>
          <w:sz w:val="22"/>
          <w:szCs w:val="22"/>
        </w:rPr>
        <w:t xml:space="preserve"> did, not what the news cycle said. The perturbation-based flag at 2013→2014 (d_A = 9.05, 3.52σ) is the moment the simplex fully absorbed the shock. It’s a structural completion signal, not an event detection signal.</w:t>
      </w:r>
    </w:p>
    <w:p>
      <w:pPr>
        <w:pBdr>
          <w:left w:val="single" w:color="F09819" w:sz="12" w:space="8"/>
        </w:pBdr>
        <w:spacing w:after="60" w:before="200"/>
      </w:pPr>
      <w:r>
        <w:rPr>
          <w:rFonts w:ascii="Arial" w:cs="Arial" w:eastAsia="Arial" w:hAnsi="Arial"/>
          <w:b/>
          <w:bCs/>
          <w:color w:val="F09819"/>
          <w:sz w:val="22"/>
          <w:szCs w:val="22"/>
        </w:rPr>
        <w:t xml:space="preserve">Q: </w:t>
      </w:r>
      <w:r>
        <w:rPr>
          <w:rFonts w:ascii="Arial" w:cs="Arial" w:eastAsia="Arial" w:hAnsi="Arial"/>
          <w:i/>
          <w:iCs/>
          <w:color w:val="1F4E79"/>
          <w:sz w:val="22"/>
          <w:szCs w:val="22"/>
        </w:rPr>
        <w:t xml:space="preserve">Germany’s d_A = 9.07 is the largest single-year distance. Is nuclear shutdown really bigger than Fukushima?</w:t>
      </w:r>
    </w:p>
    <w:p>
      <w:pPr>
        <w:spacing w:after="100" w:line="276"/>
        <w:jc w:val="left"/>
      </w:pPr>
      <w:r>
        <w:rPr>
          <w:rFonts w:ascii="Arial" w:cs="Arial" w:eastAsia="Arial" w:hAnsi="Arial"/>
          <w:sz w:val="22"/>
          <w:szCs w:val="22"/>
        </w:rPr>
        <w:t xml:space="preserve">Compositionally, yes. Germany went from 1.4% nuclear to 0.0% in a single year — the last three reactors shut down in April 2023. Japan’s nuclear share was already very low by 2013, so the 2013→2014 perturbation, while enormous, was redistributing a smaller remaining wedge. Germany’s was the final elimination of a carrier that had been 30% of generation just two decades earlier. The Aitchison distance captures the </w:t>
      </w:r>
      <w:r>
        <w:rPr>
          <w:rFonts w:ascii="Arial" w:cs="Arial" w:eastAsia="Arial" w:hAnsi="Arial"/>
          <w:i/>
          <w:iCs/>
          <w:sz w:val="22"/>
          <w:szCs w:val="22"/>
        </w:rPr>
        <w:t xml:space="preserve">total</w:t>
      </w:r>
      <w:r>
        <w:rPr>
          <w:rFonts w:ascii="Arial" w:cs="Arial" w:eastAsia="Arial" w:hAnsi="Arial"/>
          <w:sz w:val="22"/>
          <w:szCs w:val="22"/>
        </w:rPr>
        <w:t xml:space="preserve"> compositional reallocation, and Germany’s 2023→2024 transition moved more mass across more carriers simultaneously.</w:t>
      </w:r>
    </w:p>
    <w:p>
      <w:pPr>
        <w:pBdr>
          <w:left w:val="single" w:color="F09819" w:sz="12" w:space="8"/>
        </w:pBdr>
        <w:spacing w:after="60" w:before="200"/>
      </w:pPr>
      <w:r>
        <w:rPr>
          <w:rFonts w:ascii="Arial" w:cs="Arial" w:eastAsia="Arial" w:hAnsi="Arial"/>
          <w:b/>
          <w:bCs/>
          <w:color w:val="F09819"/>
          <w:sz w:val="22"/>
          <w:szCs w:val="22"/>
        </w:rPr>
        <w:t xml:space="preserve">Q: </w:t>
      </w:r>
      <w:r>
        <w:rPr>
          <w:rFonts w:ascii="Arial" w:cs="Arial" w:eastAsia="Arial" w:hAnsi="Arial"/>
          <w:i/>
          <w:iCs/>
          <w:color w:val="1F4E79"/>
          <w:sz w:val="22"/>
          <w:szCs w:val="22"/>
        </w:rPr>
        <w:t xml:space="preserve">The UK has three flags spread over 15 years. Does that mean the transition was less dramatic?</w:t>
      </w:r>
    </w:p>
    <w:p>
      <w:pPr>
        <w:spacing w:after="100" w:line="276"/>
        <w:jc w:val="left"/>
      </w:pPr>
      <w:r>
        <w:rPr>
          <w:rFonts w:ascii="Arial" w:cs="Arial" w:eastAsia="Arial" w:hAnsi="Arial"/>
          <w:sz w:val="22"/>
          <w:szCs w:val="22"/>
        </w:rPr>
        <w:t xml:space="preserve">It means it was more </w:t>
      </w:r>
      <w:r>
        <w:rPr>
          <w:rFonts w:ascii="Arial" w:cs="Arial" w:eastAsia="Arial" w:hAnsi="Arial"/>
          <w:i/>
          <w:iCs/>
          <w:sz w:val="22"/>
          <w:szCs w:val="22"/>
        </w:rPr>
        <w:t xml:space="preserve">sustained</w:t>
      </w:r>
      <w:r>
        <w:rPr>
          <w:rFonts w:ascii="Arial" w:cs="Arial" w:eastAsia="Arial" w:hAnsi="Arial"/>
          <w:sz w:val="22"/>
          <w:szCs w:val="22"/>
        </w:rPr>
        <w:t xml:space="preserve">. Germany and Japan have sharp shocks — policy events that compress years of transition into one or two years. The UK’s coal exit was a phased structural shift: dash-for-gas (2005), coal collapse acceleration (2018), then COVID plus coal near-zero (2020). Three distinct perturbation events, each individually smaller than Fukushima or the German nuclear shutdown, but cumulatively enormous — coal went from 32% to 0.1%. The protocol distinguishes between shock-type and drift-type transitions. Both register, but the signature is different.</w:t>
      </w:r>
    </w:p>
    <w:p>
      <w:pPr>
        <w:pBdr>
          <w:left w:val="single" w:color="F09819" w:sz="12" w:space="8"/>
        </w:pBdr>
        <w:spacing w:after="60" w:before="200"/>
      </w:pPr>
      <w:r>
        <w:rPr>
          <w:rFonts w:ascii="Arial" w:cs="Arial" w:eastAsia="Arial" w:hAnsi="Arial"/>
          <w:b/>
          <w:bCs/>
          <w:color w:val="F09819"/>
          <w:sz w:val="22"/>
          <w:szCs w:val="22"/>
        </w:rPr>
        <w:t xml:space="preserve">Q: </w:t>
      </w:r>
      <w:r>
        <w:rPr>
          <w:rFonts w:ascii="Arial" w:cs="Arial" w:eastAsia="Arial" w:hAnsi="Arial"/>
          <w:i/>
          <w:iCs/>
          <w:color w:val="1F4E79"/>
          <w:sz w:val="22"/>
          <w:szCs w:val="22"/>
        </w:rPr>
        <w:t xml:space="preserve">Your effective diversity goes up in all three countries. Is that always the case?</w:t>
      </w:r>
    </w:p>
    <w:p>
      <w:pPr>
        <w:spacing w:after="100" w:line="276"/>
        <w:jc w:val="left"/>
      </w:pPr>
      <w:r>
        <w:rPr>
          <w:rFonts w:ascii="Arial" w:cs="Arial" w:eastAsia="Arial" w:hAnsi="Arial"/>
          <w:sz w:val="22"/>
          <w:szCs w:val="22"/>
        </w:rPr>
        <w:t xml:space="preserve">Not necessarily. A country that consolidates around a single dominant carrier — say France going even deeper into nuclear — could see effective diversity </w:t>
      </w:r>
      <w:r>
        <w:rPr>
          <w:rFonts w:ascii="Arial" w:cs="Arial" w:eastAsia="Arial" w:hAnsi="Arial"/>
          <w:i/>
          <w:iCs/>
          <w:sz w:val="22"/>
          <w:szCs w:val="22"/>
        </w:rPr>
        <w:t xml:space="preserve">decrease</w:t>
      </w:r>
      <w:r>
        <w:rPr>
          <w:rFonts w:ascii="Arial" w:cs="Arial" w:eastAsia="Arial" w:hAnsi="Arial"/>
          <w:sz w:val="22"/>
          <w:szCs w:val="22"/>
        </w:rPr>
        <w:t xml:space="preserve">. These three countries all diversified because they were all exiting dominant fossil carriers and replacing them with a broader mix of renewables. The effective diversity trend is an outcome of the transition, not a property of the method. It would be interesting to run the protocol on a country like Paraguay (almost 100% hydro) or Iceland (geothermal-dominated) where the story is different.</w:t>
      </w:r>
    </w:p>
    <w:p>
      <w:pPr>
        <w:pBdr>
          <w:left w:val="single" w:color="F09819" w:sz="12" w:space="8"/>
        </w:pBdr>
        <w:spacing w:after="60" w:before="200"/>
      </w:pPr>
      <w:r>
        <w:rPr>
          <w:rFonts w:ascii="Arial" w:cs="Arial" w:eastAsia="Arial" w:hAnsi="Arial"/>
          <w:b/>
          <w:bCs/>
          <w:color w:val="F09819"/>
          <w:sz w:val="22"/>
          <w:szCs w:val="22"/>
        </w:rPr>
        <w:t xml:space="preserve">Q: </w:t>
      </w:r>
      <w:r>
        <w:rPr>
          <w:rFonts w:ascii="Arial" w:cs="Arial" w:eastAsia="Arial" w:hAnsi="Arial"/>
          <w:i/>
          <w:iCs/>
          <w:color w:val="1F4E79"/>
          <w:sz w:val="22"/>
          <w:szCs w:val="22"/>
        </w:rPr>
        <w:t xml:space="preserve">What’s the relationship between effective diversity and the Aitchison norm? You called that an open question.</w:t>
      </w:r>
    </w:p>
    <w:p>
      <w:pPr>
        <w:spacing w:after="100" w:line="276"/>
        <w:jc w:val="left"/>
      </w:pPr>
      <w:r>
        <w:rPr>
          <w:rFonts w:ascii="Arial" w:cs="Arial" w:eastAsia="Arial" w:hAnsi="Arial"/>
          <w:sz w:val="22"/>
          <w:szCs w:val="22"/>
        </w:rPr>
        <w:t xml:space="preserve">Both measure how “spread” a composition is, but from different geometries. Effective diversity N_eff = exp(H) comes from information theory — it’s a scalar on the simplex that peaks at the barycenter. The Aitchison norm ‖x‖_A = ‖clr(x)‖ measures distance from the barycenter in Aitchison geometry. They’re correlated but not identical — a composition can have the same Aitchison norm as another but different entropy if the mass is distributed differently across carriers. I suspect there’s a clean inequality relating them, possibly involving the dimension D. I’m genuinely asking — I think the experts in this room can formalise what I’ve only observed numerically.</w:t>
      </w:r>
    </w:p>
    <w:p>
      <w:r>
        <w:br w:type="page"/>
      </w:r>
    </w:p>
    <w:p>
      <w:pPr>
        <w:pStyle w:val="Heading1"/>
        <w:spacing w:after="80" w:before="300"/>
      </w:pPr>
      <w:r>
        <w:rPr>
          <w:rFonts w:ascii="Arial" w:cs="Arial" w:eastAsia="Arial" w:hAnsi="Arial"/>
          <w:b/>
          <w:bCs/>
          <w:color w:val="1F4E79"/>
          <w:sz w:val="28"/>
          <w:szCs w:val="28"/>
        </w:rPr>
        <w:t xml:space="preserve">3. Scope &amp; Extension Questions</w:t>
      </w:r>
    </w:p>
    <w:p>
      <w:pPr>
        <w:pBdr>
          <w:left w:val="single" w:color="F09819" w:sz="12" w:space="8"/>
        </w:pBdr>
        <w:spacing w:after="60" w:before="200"/>
      </w:pPr>
      <w:r>
        <w:rPr>
          <w:rFonts w:ascii="Arial" w:cs="Arial" w:eastAsia="Arial" w:hAnsi="Arial"/>
          <w:b/>
          <w:bCs/>
          <w:color w:val="F09819"/>
          <w:sz w:val="22"/>
          <w:szCs w:val="22"/>
        </w:rPr>
        <w:t xml:space="preserve">Q: </w:t>
      </w:r>
      <w:r>
        <w:rPr>
          <w:rFonts w:ascii="Arial" w:cs="Arial" w:eastAsia="Arial" w:hAnsi="Arial"/>
          <w:i/>
          <w:iCs/>
          <w:color w:val="1F4E79"/>
          <w:sz w:val="22"/>
          <w:szCs w:val="22"/>
        </w:rPr>
        <w:t xml:space="preserve">Can this work on monthly data? Your abstract only shows annual.</w:t>
      </w:r>
    </w:p>
    <w:p>
      <w:pPr>
        <w:spacing w:after="100" w:line="276"/>
        <w:jc w:val="left"/>
      </w:pPr>
      <w:r>
        <w:rPr>
          <w:rFonts w:ascii="Arial" w:cs="Arial" w:eastAsia="Arial" w:hAnsi="Arial"/>
          <w:sz w:val="22"/>
          <w:szCs w:val="22"/>
        </w:rPr>
        <w:t xml:space="preserve">Yes. EMBER publishes monthly data for the same countries and carriers. Monthly resolution would give you seasonal patterns — the winter heating peak in gas, the summer solar peak — layered on top of the structural drift. The protocol is resolution-agnostic; all it needs is a sequence of compositions. Monthly data would also make the drift flags more precise: you could pinpoint </w:t>
      </w:r>
      <w:r>
        <w:rPr>
          <w:rFonts w:ascii="Arial" w:cs="Arial" w:eastAsia="Arial" w:hAnsi="Arial"/>
          <w:i/>
          <w:iCs/>
          <w:sz w:val="22"/>
          <w:szCs w:val="22"/>
        </w:rPr>
        <w:t xml:space="preserve">which month</w:t>
      </w:r>
      <w:r>
        <w:rPr>
          <w:rFonts w:ascii="Arial" w:cs="Arial" w:eastAsia="Arial" w:hAnsi="Arial"/>
          <w:sz w:val="22"/>
          <w:szCs w:val="22"/>
        </w:rPr>
        <w:t xml:space="preserve"> a structural transition occurred, not just which year. The trade-off is noise: month-to-month perturbations include weather and demand cycles, so you’d want a moving-window smoother or seasonal decomposition before flagging.</w:t>
      </w:r>
    </w:p>
    <w:p>
      <w:pPr>
        <w:pBdr>
          <w:left w:val="single" w:color="F09819" w:sz="12" w:space="8"/>
        </w:pBdr>
        <w:spacing w:after="60" w:before="200"/>
      </w:pPr>
      <w:r>
        <w:rPr>
          <w:rFonts w:ascii="Arial" w:cs="Arial" w:eastAsia="Arial" w:hAnsi="Arial"/>
          <w:b/>
          <w:bCs/>
          <w:color w:val="F09819"/>
          <w:sz w:val="22"/>
          <w:szCs w:val="22"/>
        </w:rPr>
        <w:t xml:space="preserve">Q: </w:t>
      </w:r>
      <w:r>
        <w:rPr>
          <w:rFonts w:ascii="Arial" w:cs="Arial" w:eastAsia="Arial" w:hAnsi="Arial"/>
          <w:i/>
          <w:iCs/>
          <w:color w:val="1F4E79"/>
          <w:sz w:val="22"/>
          <w:szCs w:val="22"/>
        </w:rPr>
        <w:t xml:space="preserve">What about portfolio allocation? Does this apply to finance?</w:t>
      </w:r>
    </w:p>
    <w:p>
      <w:pPr>
        <w:spacing w:after="100" w:line="276"/>
        <w:jc w:val="left"/>
      </w:pPr>
      <w:r>
        <w:rPr>
          <w:rFonts w:ascii="Arial" w:cs="Arial" w:eastAsia="Arial" w:hAnsi="Arial"/>
          <w:sz w:val="22"/>
          <w:szCs w:val="22"/>
        </w:rPr>
        <w:t xml:space="preserve">Directly. A portfolio of n assets with weights w_1, …, w_n where Σw_i = 1 is a composition on the (n−1)-simplex. Rebalancing is perturbation. Tracking error is Aitchison distance. Style drift is exactly what this protocol detects. Vega Baquero and Santolino are presenting here at CoDaWork on “Proportionality between allocations in asset management” using Aitchison geometry on IBEX 35 portfolios — that’s the same insight from the finance side. The monitoring protocol I’m presenting would apply directly to portfolio drift detection, with the same perturbation-based flags.</w:t>
      </w:r>
    </w:p>
    <w:p>
      <w:pPr>
        <w:pBdr>
          <w:left w:val="single" w:color="F09819" w:sz="12" w:space="8"/>
        </w:pBdr>
        <w:spacing w:after="60" w:before="200"/>
      </w:pPr>
      <w:r>
        <w:rPr>
          <w:rFonts w:ascii="Arial" w:cs="Arial" w:eastAsia="Arial" w:hAnsi="Arial"/>
          <w:b/>
          <w:bCs/>
          <w:color w:val="F09819"/>
          <w:sz w:val="22"/>
          <w:szCs w:val="22"/>
        </w:rPr>
        <w:t xml:space="preserve">Q: </w:t>
      </w:r>
      <w:r>
        <w:rPr>
          <w:rFonts w:ascii="Arial" w:cs="Arial" w:eastAsia="Arial" w:hAnsi="Arial"/>
          <w:i/>
          <w:iCs/>
          <w:color w:val="1F4E79"/>
          <w:sz w:val="22"/>
          <w:szCs w:val="22"/>
        </w:rPr>
        <w:t xml:space="preserve">Could you use this for microbiome data? Or any other compositional time series?</w:t>
      </w:r>
    </w:p>
    <w:p>
      <w:pPr>
        <w:spacing w:after="100" w:line="276"/>
        <w:jc w:val="left"/>
      </w:pPr>
      <w:r>
        <w:rPr>
          <w:rFonts w:ascii="Arial" w:cs="Arial" w:eastAsia="Arial" w:hAnsi="Arial"/>
          <w:sz w:val="22"/>
          <w:szCs w:val="22"/>
        </w:rPr>
        <w:t xml:space="preserve">Any domain where you have repeated compositional observations over time. Microbiome is a natural fit — Narayana and Chotirmall are presenting here on COPD microbiome dynamics using perturbation and Aitchison norm, which is essentially the same toolkit. Geochemistry, dietary studies, vote shares in elections, market share tracking — anywhere Σx_i = 1 and you have a time dimension, the protocol applies. The contribution is the </w:t>
      </w:r>
      <w:r>
        <w:rPr>
          <w:rFonts w:ascii="Arial" w:cs="Arial" w:eastAsia="Arial" w:hAnsi="Arial"/>
          <w:i/>
          <w:iCs/>
          <w:sz w:val="22"/>
          <w:szCs w:val="22"/>
        </w:rPr>
        <w:t xml:space="preserve">monitoring framework</w:t>
      </w:r>
      <w:r>
        <w:rPr>
          <w:rFonts w:ascii="Arial" w:cs="Arial" w:eastAsia="Arial" w:hAnsi="Arial"/>
          <w:sz w:val="22"/>
          <w:szCs w:val="22"/>
        </w:rPr>
        <w:t xml:space="preserve"> — perturbation as change, Aitchison distance as magnitude, self-calibrated flags. The domain is just the data source.</w:t>
      </w:r>
    </w:p>
    <w:p>
      <w:pPr>
        <w:pBdr>
          <w:left w:val="single" w:color="F09819" w:sz="12" w:space="8"/>
        </w:pBdr>
        <w:spacing w:after="60" w:before="200"/>
      </w:pPr>
      <w:r>
        <w:rPr>
          <w:rFonts w:ascii="Arial" w:cs="Arial" w:eastAsia="Arial" w:hAnsi="Arial"/>
          <w:b/>
          <w:bCs/>
          <w:color w:val="F09819"/>
          <w:sz w:val="22"/>
          <w:szCs w:val="22"/>
        </w:rPr>
        <w:t xml:space="preserve">Q: </w:t>
      </w:r>
      <w:r>
        <w:rPr>
          <w:rFonts w:ascii="Arial" w:cs="Arial" w:eastAsia="Arial" w:hAnsi="Arial"/>
          <w:i/>
          <w:iCs/>
          <w:color w:val="1F4E79"/>
          <w:sz w:val="22"/>
          <w:szCs w:val="22"/>
        </w:rPr>
        <w:t xml:space="preserve">You mentioned decimation at the end. What’s that about?</w:t>
      </w:r>
    </w:p>
    <w:p>
      <w:pPr>
        <w:spacing w:after="100" w:line="276"/>
        <w:jc w:val="left"/>
      </w:pPr>
      <w:r>
        <w:rPr>
          <w:rFonts w:ascii="Arial" w:cs="Arial" w:eastAsia="Arial" w:hAnsi="Arial"/>
          <w:sz w:val="22"/>
          <w:szCs w:val="22"/>
        </w:rPr>
        <w:t xml:space="preserve">If you compress a compositional time series — average 25 annual points down to 5 — which averaging rule is valid? The arithmetic mean isn’t a CoDa operation. The geometric mean (closed) is the Aitchison barycenter. Empirically, geometric-mean decimation preserves Shannon entropy to within 5% across 35 NGFS scenario trajectories. Arithmetic decimation destroys 20–40% of the entropy structure. That’s a conservation law in compositional time series that hasn’t been formalised yet. I’m working on it — happy to discuss the details over coffee.</w:t>
      </w:r>
    </w:p>
    <w:p>
      <w:pPr>
        <w:pBdr>
          <w:left w:val="single" w:color="F09819" w:sz="12" w:space="8"/>
        </w:pBdr>
        <w:spacing w:after="60" w:before="200"/>
      </w:pPr>
      <w:r>
        <w:rPr>
          <w:rFonts w:ascii="Arial" w:cs="Arial" w:eastAsia="Arial" w:hAnsi="Arial"/>
          <w:b/>
          <w:bCs/>
          <w:color w:val="F09819"/>
          <w:sz w:val="22"/>
          <w:szCs w:val="22"/>
        </w:rPr>
        <w:t xml:space="preserve">Q: </w:t>
      </w:r>
      <w:r>
        <w:rPr>
          <w:rFonts w:ascii="Arial" w:cs="Arial" w:eastAsia="Arial" w:hAnsi="Arial"/>
          <w:i/>
          <w:iCs/>
          <w:color w:val="1F4E79"/>
          <w:sz w:val="22"/>
          <w:szCs w:val="22"/>
        </w:rPr>
        <w:t xml:space="preserve">Is this connected to anything outside CoDa? Information theory? Physics?</w:t>
      </w:r>
    </w:p>
    <w:p>
      <w:pPr>
        <w:spacing w:after="100" w:line="276"/>
        <w:jc w:val="left"/>
      </w:pPr>
      <w:r>
        <w:rPr>
          <w:rFonts w:ascii="Arial" w:cs="Arial" w:eastAsia="Arial" w:hAnsi="Arial"/>
          <w:sz w:val="22"/>
          <w:szCs w:val="22"/>
        </w:rPr>
        <w:t xml:space="preserve">The Shannon entropy invariance under geometric-mean decimation is analogous to unitarity in quantum mechanics — the requirement that time evolution preserves probability and von Neumann entropy. The simplex constraint Σx_i = 1 is structurally identical to the Hilbert norm Σ|ψ_i|² = 1. I’ve been exploring that correspondence in separate work. The nine isomorphisms between CoDa and quantum measurement theory are documented, and they’re not metaphorical — the mathematics maps formally. But that’s a different paper for a different venue. Today is about the monitoring protocol.</w:t>
      </w:r>
    </w:p>
    <w:p>
      <w:r>
        <w:br w:type="page"/>
      </w:r>
    </w:p>
    <w:p>
      <w:pPr>
        <w:pStyle w:val="Heading1"/>
        <w:spacing w:after="80" w:before="300"/>
      </w:pPr>
      <w:r>
        <w:rPr>
          <w:rFonts w:ascii="Arial" w:cs="Arial" w:eastAsia="Arial" w:hAnsi="Arial"/>
          <w:b/>
          <w:bCs/>
          <w:color w:val="1F4E79"/>
          <w:sz w:val="28"/>
          <w:szCs w:val="28"/>
        </w:rPr>
        <w:t xml:space="preserve">4. Responding to the Four Defeats</w:t>
      </w:r>
    </w:p>
    <w:p>
      <w:pPr>
        <w:spacing w:after="100" w:line="276"/>
        <w:jc w:val="left"/>
      </w:pPr>
      <w:r>
        <w:rPr>
          <w:rFonts w:ascii="Arial" w:cs="Arial" w:eastAsia="Arial" w:hAnsi="Arial"/>
          <w:sz w:val="22"/>
          <w:szCs w:val="22"/>
        </w:rPr>
        <w:t xml:space="preserve">The abstract presents a falsifiable claim: </w:t>
      </w:r>
      <w:r>
        <w:rPr>
          <w:rFonts w:ascii="Arial" w:cs="Arial" w:eastAsia="Arial" w:hAnsi="Arial"/>
          <w:b/>
          <w:bCs/>
          <w:i/>
          <w:iCs/>
          <w:sz w:val="22"/>
          <w:szCs w:val="22"/>
        </w:rPr>
        <w:t xml:space="preserve">no existing monitoring framework performs compositional change detection at the carrier level with formal perturbation-based drift measurement</w:t>
      </w:r>
      <w:r>
        <w:rPr>
          <w:rFonts w:ascii="Arial" w:cs="Arial" w:eastAsia="Arial" w:hAnsi="Arial"/>
          <w:sz w:val="22"/>
          <w:szCs w:val="22"/>
        </w:rPr>
        <w:t xml:space="preserve">. Here are prepared responses if someone claims a defeat.</w:t>
      </w:r>
    </w:p>
    <w:p>
      <w:pPr>
        <w:pBdr>
          <w:left w:val="single" w:color="DC2626" w:sz="12" w:space="8"/>
        </w:pBdr>
        <w:spacing w:after="60" w:before="200"/>
      </w:pPr>
      <w:r>
        <w:rPr>
          <w:rFonts w:ascii="Arial" w:cs="Arial" w:eastAsia="Arial" w:hAnsi="Arial"/>
          <w:b/>
          <w:bCs/>
          <w:color w:val="DC2626"/>
          <w:sz w:val="22"/>
          <w:szCs w:val="22"/>
        </w:rPr>
        <w:t xml:space="preserve">Defeat #1: </w:t>
      </w:r>
      <w:r>
        <w:rPr>
          <w:rFonts w:ascii="Arial" w:cs="Arial" w:eastAsia="Arial" w:hAnsi="Arial"/>
          <w:i/>
          <w:iCs/>
          <w:color w:val="DC2626"/>
          <w:sz w:val="22"/>
          <w:szCs w:val="22"/>
        </w:rPr>
        <w:t xml:space="preserve">A published system using the Aitchison metric on energy-mix compositions to detect drift</w:t>
      </w:r>
    </w:p>
    <w:p>
      <w:pPr>
        <w:spacing w:after="100" w:line="276"/>
        <w:jc w:val="left"/>
      </w:pPr>
      <w:r>
        <w:rPr>
          <w:rFonts w:ascii="Arial" w:cs="Arial" w:eastAsia="Arial" w:hAnsi="Arial"/>
          <w:sz w:val="22"/>
          <w:szCs w:val="22"/>
        </w:rPr>
        <w:t xml:space="preserve">That would be excellent — genuinely. If someone has published a monitoring framework that uses d_A on energy compositions, I want to know about it and cite it. The closest I’ve found is Narayana’s work on COPD microbiome dynamics (presented here), which uses the Aitchison norm on perturbation residuals, but in a clinical trial context, not as a monitoring protocol for energy or governance. There’s also the broader CoDa time-series literature — Creus-Martí’s longitudinal microbiome work, the Adelaide group’s trajectory clustering — but none of them formalise a </w:t>
      </w:r>
      <w:r>
        <w:rPr>
          <w:rFonts w:ascii="Arial" w:cs="Arial" w:eastAsia="Arial" w:hAnsi="Arial"/>
          <w:i/>
          <w:iCs/>
          <w:sz w:val="22"/>
          <w:szCs w:val="22"/>
        </w:rPr>
        <w:t xml:space="preserve">monitoring protocol</w:t>
      </w:r>
      <w:r>
        <w:rPr>
          <w:rFonts w:ascii="Arial" w:cs="Arial" w:eastAsia="Arial" w:hAnsi="Arial"/>
          <w:sz w:val="22"/>
          <w:szCs w:val="22"/>
        </w:rPr>
        <w:t xml:space="preserve"> with perturbation-based drift flags. If I’m wrong, the claim is defeated and the literature is richer for it. That’s the point of falsifiability.</w:t>
      </w:r>
    </w:p>
    <w:p>
      <w:pPr>
        <w:pBdr>
          <w:left w:val="single" w:color="DC2626" w:sz="12" w:space="8"/>
        </w:pBdr>
        <w:spacing w:after="60" w:before="200"/>
      </w:pPr>
      <w:r>
        <w:rPr>
          <w:rFonts w:ascii="Arial" w:cs="Arial" w:eastAsia="Arial" w:hAnsi="Arial"/>
          <w:b/>
          <w:bCs/>
          <w:color w:val="DC2626"/>
          <w:sz w:val="22"/>
          <w:szCs w:val="22"/>
        </w:rPr>
        <w:t xml:space="preserve">Defeat #2: </w:t>
      </w:r>
      <w:r>
        <w:rPr>
          <w:rFonts w:ascii="Arial" w:cs="Arial" w:eastAsia="Arial" w:hAnsi="Arial"/>
          <w:i/>
          <w:iCs/>
          <w:color w:val="DC2626"/>
          <w:sz w:val="22"/>
          <w:szCs w:val="22"/>
        </w:rPr>
        <w:t xml:space="preserve">A published system that measures change as perturbation (compositional ratio) rather than arithmetic difference</w:t>
      </w:r>
    </w:p>
    <w:p>
      <w:pPr>
        <w:spacing w:after="100" w:line="276"/>
        <w:jc w:val="left"/>
      </w:pPr>
      <w:r>
        <w:rPr>
          <w:rFonts w:ascii="Arial" w:cs="Arial" w:eastAsia="Arial" w:hAnsi="Arial"/>
          <w:sz w:val="22"/>
          <w:szCs w:val="22"/>
        </w:rPr>
        <w:t xml:space="preserve">Perturbation as a change operator is standard CoDa theory — Aitchison 1986, Egozcue et al. 2003. The claim isn’t that perturbation is novel. The claim is that nobody has built a </w:t>
      </w:r>
      <w:r>
        <w:rPr>
          <w:rFonts w:ascii="Arial" w:cs="Arial" w:eastAsia="Arial" w:hAnsi="Arial"/>
          <w:i/>
          <w:iCs/>
          <w:sz w:val="22"/>
          <w:szCs w:val="22"/>
        </w:rPr>
        <w:t xml:space="preserve">monitoring protocol</w:t>
      </w:r>
      <w:r>
        <w:rPr>
          <w:rFonts w:ascii="Arial" w:cs="Arial" w:eastAsia="Arial" w:hAnsi="Arial"/>
          <w:sz w:val="22"/>
          <w:szCs w:val="22"/>
        </w:rPr>
        <w:t xml:space="preserve"> around it — one that produces running flags from a time series. Many CoDa papers compute perturbation differences as a one-off analysis step. This protocol chains them into a sequence, computes a distance series, calibrates a threshold from the country’s own variability, and flags anomalies. If someone has published that chain — perturbation → distance series → self-calibrated flags — as a deployed monitoring system, I’d want to see it.</w:t>
      </w:r>
    </w:p>
    <w:p>
      <w:pPr>
        <w:pBdr>
          <w:left w:val="single" w:color="DC2626" w:sz="12" w:space="8"/>
        </w:pBdr>
        <w:spacing w:after="60" w:before="200"/>
      </w:pPr>
      <w:r>
        <w:rPr>
          <w:rFonts w:ascii="Arial" w:cs="Arial" w:eastAsia="Arial" w:hAnsi="Arial"/>
          <w:b/>
          <w:bCs/>
          <w:color w:val="DC2626"/>
          <w:sz w:val="22"/>
          <w:szCs w:val="22"/>
        </w:rPr>
        <w:t xml:space="preserve">Defeat #3: </w:t>
      </w:r>
      <w:r>
        <w:rPr>
          <w:rFonts w:ascii="Arial" w:cs="Arial" w:eastAsia="Arial" w:hAnsi="Arial"/>
          <w:i/>
          <w:iCs/>
          <w:color w:val="DC2626"/>
          <w:sz w:val="22"/>
          <w:szCs w:val="22"/>
        </w:rPr>
        <w:t xml:space="preserve">A published system operating at individual carrier level within the simplex (not aggregated to fossil/clean)</w:t>
      </w:r>
    </w:p>
    <w:p>
      <w:pPr>
        <w:spacing w:after="100" w:line="276"/>
        <w:jc w:val="left"/>
      </w:pPr>
      <w:r>
        <w:rPr>
          <w:rFonts w:ascii="Arial" w:cs="Arial" w:eastAsia="Arial" w:hAnsi="Arial"/>
          <w:sz w:val="22"/>
          <w:szCs w:val="22"/>
        </w:rPr>
        <w:t xml:space="preserve">Most energy monitoring systems aggregate carriers into buckets — fossil vs clean, or thermal vs renewable. The IEA, IRENA, and national energy agencies report at the technology level but their monitoring frameworks (comparisons against NDC targets, percentage-point changes) don’t use CoDa methods. They work in proportion space with arithmetic differences, not on the simplex with perturbation. A system that tracks coal, gas, nuclear, hydro, solar, wind, bioenergy, and other fuels </w:t>
      </w:r>
      <w:r>
        <w:rPr>
          <w:rFonts w:ascii="Arial" w:cs="Arial" w:eastAsia="Arial" w:hAnsi="Arial"/>
          <w:i/>
          <w:iCs/>
          <w:sz w:val="22"/>
          <w:szCs w:val="22"/>
        </w:rPr>
        <w:t xml:space="preserve">as a composition</w:t>
      </w:r>
      <w:r>
        <w:rPr>
          <w:rFonts w:ascii="Arial" w:cs="Arial" w:eastAsia="Arial" w:hAnsi="Arial"/>
          <w:sz w:val="22"/>
          <w:szCs w:val="22"/>
        </w:rPr>
        <w:t xml:space="preserve"> and measures inter-period change as perturbation would defeat this claim. I’d be surprised and delighted if it exists, because it would mean the energy governance world has already absorbed CoDa methods more deeply than I believe.</w:t>
      </w:r>
    </w:p>
    <w:p>
      <w:pPr>
        <w:pBdr>
          <w:left w:val="single" w:color="DC2626" w:sz="12" w:space="8"/>
        </w:pBdr>
        <w:spacing w:after="60" w:before="200"/>
      </w:pPr>
      <w:r>
        <w:rPr>
          <w:rFonts w:ascii="Arial" w:cs="Arial" w:eastAsia="Arial" w:hAnsi="Arial"/>
          <w:b/>
          <w:bCs/>
          <w:color w:val="DC2626"/>
          <w:sz w:val="22"/>
          <w:szCs w:val="22"/>
        </w:rPr>
        <w:t xml:space="preserve">Defeat #4: </w:t>
      </w:r>
      <w:r>
        <w:rPr>
          <w:rFonts w:ascii="Arial" w:cs="Arial" w:eastAsia="Arial" w:hAnsi="Arial"/>
          <w:i/>
          <w:iCs/>
          <w:color w:val="DC2626"/>
          <w:sz w:val="22"/>
          <w:szCs w:val="22"/>
        </w:rPr>
        <w:t xml:space="preserve">A theoretical proof that CoDa adds no information beyond percentage-based monitoring</w:t>
      </w:r>
    </w:p>
    <w:p>
      <w:pPr>
        <w:spacing w:after="100" w:line="276"/>
        <w:jc w:val="left"/>
      </w:pPr>
      <w:r>
        <w:rPr>
          <w:rFonts w:ascii="Arial" w:cs="Arial" w:eastAsia="Arial" w:hAnsi="Arial"/>
          <w:sz w:val="22"/>
          <w:szCs w:val="22"/>
        </w:rPr>
        <w:t xml:space="preserve">This is the most interesting defeat because it would be a fundamental result. If someone could prove that Aitchison distance on compositions is a monotone transformation of some simpler quantity computable from raw percentages — that the compositional structure adds no discriminating power — that would be important for the field, not just for my paper. I don’t believe this proof exists because the counterexamples are clear: two countries can have identical percentage-point changes in coal (say, −10 points each) but very different Aitchison distances, because the </w:t>
      </w:r>
      <w:r>
        <w:rPr>
          <w:rFonts w:ascii="Arial" w:cs="Arial" w:eastAsia="Arial" w:hAnsi="Arial"/>
          <w:i/>
          <w:iCs/>
          <w:sz w:val="22"/>
          <w:szCs w:val="22"/>
        </w:rPr>
        <w:t xml:space="preserve">starting composition</w:t>
      </w:r>
      <w:r>
        <w:rPr>
          <w:rFonts w:ascii="Arial" w:cs="Arial" w:eastAsia="Arial" w:hAnsi="Arial"/>
          <w:sz w:val="22"/>
          <w:szCs w:val="22"/>
        </w:rPr>
        <w:t xml:space="preserve"> determines the simplex geometry. Going from 50% to 40% coal is a smaller perturbation than going from 10% to 0% coal, even though both are “10 percentage points.” That asymmetry is exactly what CoDa captures and percentage monitoring misses.</w:t>
      </w:r>
    </w:p>
    <w:p>
      <w:r>
        <w:br w:type="page"/>
      </w:r>
    </w:p>
    <w:p>
      <w:pPr>
        <w:pStyle w:val="Heading1"/>
        <w:spacing w:after="80" w:before="300"/>
      </w:pPr>
      <w:r>
        <w:rPr>
          <w:rFonts w:ascii="Arial" w:cs="Arial" w:eastAsia="Arial" w:hAnsi="Arial"/>
          <w:b/>
          <w:bCs/>
          <w:color w:val="1F4E79"/>
          <w:sz w:val="28"/>
          <w:szCs w:val="28"/>
        </w:rPr>
        <w:t xml:space="preserve">5. Difficult or Hostile Questions</w:t>
      </w:r>
    </w:p>
    <w:p>
      <w:pPr>
        <w:pBdr>
          <w:left w:val="single" w:color="F09819" w:sz="12" w:space="8"/>
        </w:pBdr>
        <w:spacing w:after="60" w:before="200"/>
      </w:pPr>
      <w:r>
        <w:rPr>
          <w:rFonts w:ascii="Arial" w:cs="Arial" w:eastAsia="Arial" w:hAnsi="Arial"/>
          <w:b/>
          <w:bCs/>
          <w:color w:val="F09819"/>
          <w:sz w:val="22"/>
          <w:szCs w:val="22"/>
        </w:rPr>
        <w:t xml:space="preserve">Q: </w:t>
      </w:r>
      <w:r>
        <w:rPr>
          <w:rFonts w:ascii="Arial" w:cs="Arial" w:eastAsia="Arial" w:hAnsi="Arial"/>
          <w:i/>
          <w:iCs/>
          <w:color w:val="1F4E79"/>
          <w:sz w:val="22"/>
          <w:szCs w:val="22"/>
        </w:rPr>
        <w:t xml:space="preserve">You’re an independent researcher. Where’s the peer review?</w:t>
      </w:r>
    </w:p>
    <w:p>
      <w:pPr>
        <w:spacing w:after="100" w:line="276"/>
        <w:jc w:val="left"/>
      </w:pPr>
      <w:r>
        <w:rPr>
          <w:rFonts w:ascii="Arial" w:cs="Arial" w:eastAsia="Arial" w:hAnsi="Arial"/>
          <w:sz w:val="22"/>
          <w:szCs w:val="22"/>
        </w:rPr>
        <w:t xml:space="preserve">Right here. This talk, this room. CoDaWork is peer-reviewed — the abstract was accepted by the Scientific Committee chaired by Egozcue. The data is EMBER (publicly available, CC BY 4.0). The code is public. The claim is falsifiable with four explicit defeat conditions. I’m presenting it to the community that invented the tools I’m using. If the methodology is wrong, this is exactly where it will be caught. That’s why I’m here.</w:t>
      </w:r>
    </w:p>
    <w:p>
      <w:pPr>
        <w:pBdr>
          <w:left w:val="single" w:color="F09819" w:sz="12" w:space="8"/>
        </w:pBdr>
        <w:spacing w:after="60" w:before="200"/>
      </w:pPr>
      <w:r>
        <w:rPr>
          <w:rFonts w:ascii="Arial" w:cs="Arial" w:eastAsia="Arial" w:hAnsi="Arial"/>
          <w:b/>
          <w:bCs/>
          <w:color w:val="F09819"/>
          <w:sz w:val="22"/>
          <w:szCs w:val="22"/>
        </w:rPr>
        <w:t xml:space="preserve">Q: </w:t>
      </w:r>
      <w:r>
        <w:rPr>
          <w:rFonts w:ascii="Arial" w:cs="Arial" w:eastAsia="Arial" w:hAnsi="Arial"/>
          <w:i/>
          <w:iCs/>
          <w:color w:val="1F4E79"/>
          <w:sz w:val="22"/>
          <w:szCs w:val="22"/>
        </w:rPr>
        <w:t xml:space="preserve">This is just standard CoDa applied to a new dataset. What’s the contribution?</w:t>
      </w:r>
    </w:p>
    <w:p>
      <w:pPr>
        <w:spacing w:after="100" w:line="276"/>
        <w:jc w:val="left"/>
      </w:pPr>
      <w:r>
        <w:rPr>
          <w:rFonts w:ascii="Arial" w:cs="Arial" w:eastAsia="Arial" w:hAnsi="Arial"/>
          <w:sz w:val="22"/>
          <w:szCs w:val="22"/>
        </w:rPr>
        <w:t xml:space="preserve">The contribution is the </w:t>
      </w:r>
      <w:r>
        <w:rPr>
          <w:rFonts w:ascii="Arial" w:cs="Arial" w:eastAsia="Arial" w:hAnsi="Arial"/>
          <w:i/>
          <w:iCs/>
          <w:sz w:val="22"/>
          <w:szCs w:val="22"/>
        </w:rPr>
        <w:t xml:space="preserve">monitoring protocol</w:t>
      </w:r>
      <w:r>
        <w:rPr>
          <w:rFonts w:ascii="Arial" w:cs="Arial" w:eastAsia="Arial" w:hAnsi="Arial"/>
          <w:sz w:val="22"/>
          <w:szCs w:val="22"/>
        </w:rPr>
        <w:t xml:space="preserve"> — the chain from perturbation to distance series to self-calibrated flags. The individual tools (perturbation, d_A, CLR) are standard. Their assembly into a running time-series monitoring framework is not. I scanned the entire CoDaWork 2026 programme — 55 contributions. Nobody else is presenting a compositional time-series monitoring protocol. There are trajectory clusterers, longitudinal modellers, cross-sectional analysts. But a drift-detection monitoring system built on perturbation? This is the first. The novelty is the assembly, not the parts.</w:t>
      </w:r>
    </w:p>
    <w:p>
      <w:pPr>
        <w:pBdr>
          <w:left w:val="single" w:color="F09819" w:sz="12" w:space="8"/>
        </w:pBdr>
        <w:spacing w:after="60" w:before="200"/>
      </w:pPr>
      <w:r>
        <w:rPr>
          <w:rFonts w:ascii="Arial" w:cs="Arial" w:eastAsia="Arial" w:hAnsi="Arial"/>
          <w:b/>
          <w:bCs/>
          <w:color w:val="F09819"/>
          <w:sz w:val="22"/>
          <w:szCs w:val="22"/>
        </w:rPr>
        <w:t xml:space="preserve">Q: </w:t>
      </w:r>
      <w:r>
        <w:rPr>
          <w:rFonts w:ascii="Arial" w:cs="Arial" w:eastAsia="Arial" w:hAnsi="Arial"/>
          <w:i/>
          <w:iCs/>
          <w:color w:val="1F4E79"/>
          <w:sz w:val="22"/>
          <w:szCs w:val="22"/>
        </w:rPr>
        <w:t xml:space="preserve">Seven flags across three countries in 25 years — isn’t that just noise?</w:t>
      </w:r>
    </w:p>
    <w:p>
      <w:pPr>
        <w:spacing w:after="100" w:line="276"/>
        <w:jc w:val="left"/>
      </w:pPr>
      <w:r>
        <w:rPr>
          <w:rFonts w:ascii="Arial" w:cs="Arial" w:eastAsia="Arial" w:hAnsi="Arial"/>
          <w:sz w:val="22"/>
          <w:szCs w:val="22"/>
        </w:rPr>
        <w:t xml:space="preserve">Every single flag corresponds to a documented energy-policy event. Germany’s flags are the nuclear shutdown. Japan’s are Fukushima. The UK’s are the coal exit phases. Zero false positives against known events. If these were noise, they’d land on random years — they don’t. They land on exactly the years when major structural transitions occurred. That’s the validation: the protocol detects real transitions, not statistical artefacts.</w:t>
      </w:r>
    </w:p>
    <w:p>
      <w:pPr>
        <w:pBdr>
          <w:left w:val="single" w:color="F09819" w:sz="12" w:space="8"/>
        </w:pBdr>
        <w:spacing w:after="60" w:before="200"/>
      </w:pPr>
      <w:r>
        <w:rPr>
          <w:rFonts w:ascii="Arial" w:cs="Arial" w:eastAsia="Arial" w:hAnsi="Arial"/>
          <w:b/>
          <w:bCs/>
          <w:color w:val="F09819"/>
          <w:sz w:val="22"/>
          <w:szCs w:val="22"/>
        </w:rPr>
        <w:t xml:space="preserve">Q: </w:t>
      </w:r>
      <w:r>
        <w:rPr>
          <w:rFonts w:ascii="Arial" w:cs="Arial" w:eastAsia="Arial" w:hAnsi="Arial"/>
          <w:i/>
          <w:iCs/>
          <w:color w:val="1F4E79"/>
          <w:sz w:val="22"/>
          <w:szCs w:val="22"/>
        </w:rPr>
        <w:t xml:space="preserve">What about compositional regression? Shouldn’t you be modelling the trajectory, not just flagging?</w:t>
      </w:r>
    </w:p>
    <w:p>
      <w:pPr>
        <w:spacing w:after="100" w:line="276"/>
        <w:jc w:val="left"/>
      </w:pPr>
      <w:r>
        <w:rPr>
          <w:rFonts w:ascii="Arial" w:cs="Arial" w:eastAsia="Arial" w:hAnsi="Arial"/>
          <w:sz w:val="22"/>
          <w:szCs w:val="22"/>
        </w:rPr>
        <w:t xml:space="preserve">Different purpose. Compositional regression answers “what drives the composition?” This protocol answers “when did the composition change more than usual?” They’re complementary. You could fit a compositional regression to the trajectory and then apply this protocol to the </w:t>
      </w:r>
      <w:r>
        <w:rPr>
          <w:rFonts w:ascii="Arial" w:cs="Arial" w:eastAsia="Arial" w:hAnsi="Arial"/>
          <w:i/>
          <w:iCs/>
          <w:sz w:val="22"/>
          <w:szCs w:val="22"/>
        </w:rPr>
        <w:t xml:space="preserve">residuals</w:t>
      </w:r>
      <w:r>
        <w:rPr>
          <w:rFonts w:ascii="Arial" w:cs="Arial" w:eastAsia="Arial" w:hAnsi="Arial"/>
          <w:sz w:val="22"/>
          <w:szCs w:val="22"/>
        </w:rPr>
        <w:t xml:space="preserve"> — that would flag deviations from the expected trend, which might be even more interesting than deviations from the historical mean. I’d welcome that extension.</w:t>
      </w:r>
    </w:p>
    <w:p>
      <w:pPr>
        <w:pBdr>
          <w:left w:val="single" w:color="F09819" w:sz="12" w:space="8"/>
        </w:pBdr>
        <w:spacing w:after="60" w:before="200"/>
      </w:pPr>
      <w:r>
        <w:rPr>
          <w:rFonts w:ascii="Arial" w:cs="Arial" w:eastAsia="Arial" w:hAnsi="Arial"/>
          <w:b/>
          <w:bCs/>
          <w:color w:val="F09819"/>
          <w:sz w:val="22"/>
          <w:szCs w:val="22"/>
        </w:rPr>
        <w:t xml:space="preserve">Q: </w:t>
      </w:r>
      <w:r>
        <w:rPr>
          <w:rFonts w:ascii="Arial" w:cs="Arial" w:eastAsia="Arial" w:hAnsi="Arial"/>
          <w:i/>
          <w:iCs/>
          <w:color w:val="1F4E79"/>
          <w:sz w:val="22"/>
          <w:szCs w:val="22"/>
        </w:rPr>
        <w:t xml:space="preserve">Have you compared your results with a simple chi-squared test on the proportions?</w:t>
      </w:r>
    </w:p>
    <w:p>
      <w:pPr>
        <w:spacing w:after="100" w:line="276"/>
        <w:jc w:val="left"/>
      </w:pPr>
      <w:r>
        <w:rPr>
          <w:rFonts w:ascii="Arial" w:cs="Arial" w:eastAsia="Arial" w:hAnsi="Arial"/>
          <w:sz w:val="22"/>
          <w:szCs w:val="22"/>
        </w:rPr>
        <w:t xml:space="preserve">A chi-squared test would compare two compositions for statistical difference given a sample size. But these aren’t samples — they’re population-level proportions of total generation. There’s no sampling variability; Germany’s 2024 mix </w:t>
      </w:r>
      <w:r>
        <w:rPr>
          <w:rFonts w:ascii="Arial" w:cs="Arial" w:eastAsia="Arial" w:hAnsi="Arial"/>
          <w:i/>
          <w:iCs/>
          <w:sz w:val="22"/>
          <w:szCs w:val="22"/>
        </w:rPr>
        <w:t xml:space="preserve">is</w:t>
      </w:r>
      <w:r>
        <w:rPr>
          <w:rFonts w:ascii="Arial" w:cs="Arial" w:eastAsia="Arial" w:hAnsi="Arial"/>
          <w:sz w:val="22"/>
          <w:szCs w:val="22"/>
        </w:rPr>
        <w:t xml:space="preserve"> what it is. The question isn’t “are these compositions statistically different?” — they’re always different. The question is “how different, measured in the geometry of the simplex?” That’s what d_A answers. Chi-squared doesn’t use the simplex structure at all.</w:t>
      </w:r>
    </w:p>
    <w:p>
      <w:pPr>
        <w:spacing w:after="100" w:line="276"/>
        <w:jc w:val="left"/>
      </w:pPr>
      <w:r>
        <w:rPr>
          <w:rFonts w:ascii="Arial" w:cs="Arial" w:eastAsia="Arial" w:hAnsi="Arial"/>
          <w:sz w:val="22"/>
          <w:szCs w:val="22"/>
        </w:rPr>
        <w:t xml:space="default"/>
      </w:r>
    </w:p>
    <w:p>
      <w:pPr>
        <w:pBdr>
          <w:top w:val="single" w:color="F09819" w:sz="4" w:space="8"/>
        </w:pBdr>
        <w:spacing w:after="40" w:before="200"/>
        <w:jc w:val="center"/>
      </w:pPr>
      <w:r>
        <w:rPr>
          <w:rFonts w:ascii="Arial" w:cs="Arial" w:eastAsia="Arial" w:hAnsi="Arial"/>
          <w:b/>
          <w:bCs/>
          <w:color w:val="1F4E79"/>
          <w:sz w:val="24"/>
          <w:szCs w:val="24"/>
        </w:rPr>
        <w:t xml:space="preserve">Core Principle</w:t>
      </w:r>
    </w:p>
    <w:p>
      <w:pPr>
        <w:spacing w:after="40"/>
        <w:jc w:val="center"/>
      </w:pPr>
      <w:r>
        <w:rPr>
          <w:rFonts w:ascii="Arial" w:cs="Arial" w:eastAsia="Arial" w:hAnsi="Arial"/>
          <w:i/>
          <w:iCs/>
          <w:sz w:val="22"/>
          <w:szCs w:val="22"/>
        </w:rPr>
        <w:t xml:space="preserve">Answer the question that was asked. Don’t volunteer the quantum work. Don’t volunteer EITT unless Slide 15 has already been shown. Let them come to you.</w:t>
      </w:r>
    </w:p>
    <w:p>
      <w:pPr>
        <w:spacing w:after="40"/>
        <w:jc w:val="center"/>
      </w:pPr>
      <w:r>
        <w:rPr>
          <w:rFonts w:ascii="Arial" w:cs="Arial" w:eastAsia="Arial" w:hAnsi="Arial"/>
          <w:i/>
          <w:iCs/>
          <w:sz w:val="22"/>
          <w:szCs w:val="22"/>
        </w:rPr>
        <w:t xml:space="preserve">If they push on decimation → pull out the EITT coffee-table doc.</w:t>
      </w:r>
    </w:p>
    <w:p>
      <w:pPr>
        <w:spacing w:after="40"/>
        <w:jc w:val="center"/>
      </w:pPr>
      <w:r>
        <w:rPr>
          <w:rFonts w:ascii="Arial" w:cs="Arial" w:eastAsia="Arial" w:hAnsi="Arial"/>
          <w:i/>
          <w:iCs/>
          <w:sz w:val="22"/>
          <w:szCs w:val="22"/>
        </w:rPr>
        <w:t xml:space="preserve">If they push on quantum → “That’s a different paper for a different venue. Happy to discuss at the break.”</w:t>
      </w:r>
    </w:p>
    <w:p>
      <w:pPr>
        <w:spacing w:after="40"/>
        <w:jc w:val="center"/>
      </w:pPr>
      <w:r>
        <w:rPr>
          <w:rFonts w:ascii="Arial" w:cs="Arial" w:eastAsia="Arial" w:hAnsi="Arial"/>
          <w:i/>
          <w:iCs/>
          <w:color w:val="999999"/>
          <w:sz w:val="18"/>
          <w:szCs w:val="18"/>
        </w:rPr>
        <w:t xml:space="preserve">— End of Q&amp;A preparation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09819" w:sz="4" w:space="4"/>
      </w:pBdr>
      <w:jc w:val="right"/>
    </w:pPr>
    <w:r>
      <w:rPr>
        <w:rFonts w:ascii="Arial" w:cs="Arial" w:eastAsia="Arial" w:hAnsi="Arial"/>
        <w:i/>
        <w:iCs/>
        <w:color w:val="999999"/>
        <w:sz w:val="16"/>
        <w:szCs w:val="16"/>
      </w:rPr>
      <w:t xml:space="preserve">CoDaWork 2026 — Q&amp;A Preparation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00"/>
      <w:outlineLvl w:val="0"/>
    </w:pPr>
    <w:rPr>
      <w:rFonts w:ascii="Arial" w:cs="Arial" w:eastAsia="Arial" w:hAnsi="Arial"/>
      <w:b/>
      <w:bCs/>
      <w:color w:val="1F4E79"/>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E75B6"/>
      <w:sz w:val="24"/>
      <w:szCs w:val="24"/>
    </w:rPr>
  </w:style>
  <w:style w:type="paragraph" w:styleId="Heading3">
    <w:name w:val="Heading 3"/>
    <w:basedOn w:val="Normal"/>
    <w:next w:val="Normal"/>
    <w:qFormat/>
    <w:pPr>
      <w:spacing w:after="60" w:before="16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2026-04-13T12:35:07.207Z</dcterms:created>
  <dcterms:modified xsi:type="dcterms:W3CDTF">2026-04-13T12:35:07.207Z</dcterms:modified>
</cp:coreProperties>
</file>

<file path=docProps/custom.xml><?xml version="1.0" encoding="utf-8"?>
<Properties xmlns="http://schemas.openxmlformats.org/officeDocument/2006/custom-properties" xmlns:vt="http://schemas.openxmlformats.org/officeDocument/2006/docPropsVTypes"/>
</file>