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i/>
          <w:iCs/>
          <w:color w:val="888888"/>
          <w:sz w:val="20"/>
          <w:szCs w:val="20"/>
        </w:rPr>
        <w:t xml:space="preserve">Prepared for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A1628"/>
          <w:sz w:val="32"/>
          <w:szCs w:val="32"/>
        </w:rPr>
        <w:t xml:space="preserve">Roberto Ascari, Anna Maria Fiori, Giulia Oliosi &amp; Leo Pasquazzi</w:t>
      </w:r>
    </w:p>
    <w:p>
      <w:pPr>
        <w:spacing w:after="300"/>
        <w:jc w:val="center"/>
      </w:pPr>
      <w:r>
        <w:rPr>
          <w:color w:val="666666"/>
          <w:sz w:val="20"/>
          <w:szCs w:val="20"/>
        </w:rPr>
        <w:t xml:space="preserve">University of Milano-Bicocca, Italy</w:t>
      </w:r>
    </w:p>
    <w:p>
      <w:pPr>
        <w:pStyle w:val="Heading1"/>
      </w:pPr>
      <w:r>
        <w:t xml:space="preserve">What Happens Between the Clusters</w:t>
      </w:r>
    </w:p>
    <w:p>
      <w:pPr>
        <w:spacing w:after="160" w:line="300"/>
      </w:pPr>
      <w:r>
        <w:rPr>
          <w:sz w:val="22"/>
          <w:szCs w:val="22"/>
        </w:rPr>
        <w:t xml:space="preserve">Your k-prototypes proposal addresses one of the hardest problems in applied CoDa: clustering compositions that contain essential zeros. Your dissimilarity measure — combining Aitchison distance for the regular subcomposition with simple matching coefficients for categorical zero-pattern features — is an elegant solution to a real obstacle.</w:t>
      </w:r>
    </w:p>
    <w:p>
      <w:pPr>
        <w:spacing w:after="160" w:line="300"/>
      </w:pPr>
      <w:r>
        <w:rPr>
          <w:sz w:val="22"/>
          <w:szCs w:val="22"/>
        </w:rPr>
        <w:t xml:space="preserve">I work in the same application domain: country-level energy-mix composition. My CoDaWork contribution tracks these compositions over time rather than clustering them cross-sectionally. What follows shows how temporal monitoring complements your clustering approach.</w:t>
      </w:r>
    </w:p>
    <w:p>
      <w:pPr>
        <w:pStyle w:val="Heading2"/>
      </w:pPr>
      <w:r>
        <w:t xml:space="preserve">The Temporal Problem in Energy-Mix Clustering</w:t>
      </w:r>
    </w:p>
    <w:p>
      <w:pPr>
        <w:spacing w:after="160" w:line="300"/>
      </w:pPr>
      <w:r>
        <w:rPr>
          <w:sz w:val="22"/>
          <w:szCs w:val="22"/>
        </w:rPr>
        <w:t xml:space="preserve">Your abstract illustrates the method with country-level energy-mix data where essential zeros naturally appear in the nuclear power share. This is exactly right — countries that have never built nuclear reactors have a genuine structural zero, not missing data.</w:t>
      </w:r>
    </w:p>
    <w:p>
      <w:pPr>
        <w:spacing w:after="160" w:line="300"/>
      </w:pPr>
      <w:r>
        <w:rPr>
          <w:sz w:val="22"/>
          <w:szCs w:val="22"/>
        </w:rPr>
        <w:t xml:space="preserve">But nuclear zeros are not permanent. Consider Japan: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0D7377" w:sz="12"/>
              <w:bottom w:val="single" w:color="DDDDDD" w:sz="1"/>
              <w:right w:val="single" w:color="DDDDDD" w:sz="1"/>
            </w:tcBorders>
            <w:shd w:fill="F4F7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00"/>
            </w:pPr>
            <w:r>
              <w:rPr>
                <w:i/>
                <w:iCs/>
                <w:color w:val="0A1628"/>
                <w:sz w:val="22"/>
                <w:szCs w:val="22"/>
              </w:rPr>
              <w:t xml:space="preserve">Japan had a substantial nuclear share through 2010. After Fukushima (March 2011), nuclear generation dropped to near-zero. By 2015, partial restarts began. In your clustering framework, Japan would be classified differently depending on which year you snapshot. The zero pattern itself is time-dependent.</w:t>
            </w:r>
          </w:p>
        </w:tc>
      </w:tr>
    </w:tbl>
    <w:p>
      <w:pPr>
        <w:spacing w:after="80"/>
      </w:pPr>
    </w:p>
    <w:p>
      <w:pPr>
        <w:spacing w:after="160" w:line="300"/>
      </w:pPr>
      <w:r>
        <w:rPr>
          <w:sz w:val="22"/>
          <w:szCs w:val="22"/>
        </w:rPr>
        <w:t xml:space="preserve">This is not a limitation of your method — it is a feature of the domain that no cross-sectional clustering can capture. The question is: what happened between the snapshots?</w:t>
      </w:r>
    </w:p>
    <w:p>
      <w:pPr>
        <w:pStyle w:val="Heading2"/>
      </w:pPr>
      <w:r>
        <w:t xml:space="preserve">The Monitoring Protocol</w:t>
      </w:r>
    </w:p>
    <w:p>
      <w:pPr>
        <w:spacing w:after="160" w:line="300"/>
      </w:pPr>
      <w:r>
        <w:rPr>
          <w:sz w:val="22"/>
          <w:szCs w:val="22"/>
        </w:rPr>
        <w:t xml:space="preserve">My protocol tracks year-on-year compositional change using tools from the same Aitchison geometry your clustering relies on:</w:t>
      </w:r>
    </w:p>
    <w:p>
      <w:pPr>
        <w:pStyle w:val="Heading3"/>
      </w:pPr>
      <w:r>
        <w:t xml:space="preserve">Perturbation difference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120"/>
              <w:left w:type="dxa" w:w="300"/>
              <w:bottom w:type="dxa" w:w="120"/>
              <w:right w:type="dxa" w:w="200"/>
            </w:tcMar>
          </w:tcPr>
          <w:p>
            <w:pPr>
              <w:spacing w:after="80" w:line="280"/>
            </w:pPr>
            <w:r>
              <w:rPr>
                <w:rFonts w:ascii="Courier New" w:cs="Courier New" w:eastAsia="Courier New" w:hAnsi="Courier New"/>
                <w:color w:val="0A1628"/>
                <w:sz w:val="20"/>
                <w:szCs w:val="20"/>
              </w:rPr>
              <w:t xml:space="preserve">Δ(t) = C( x₁(t+1)/x₁(t), ..., x_D(t+1)/x_D(t) )</w:t>
            </w:r>
          </w:p>
        </w:tc>
      </w:tr>
    </w:tbl>
    <w:p>
      <w:pPr>
        <w:spacing w:after="160" w:line="300"/>
      </w:pPr>
      <w:r>
        <w:rPr>
          <w:sz w:val="22"/>
          <w:szCs w:val="22"/>
        </w:rPr>
        <w:t xml:space="preserve">The compositional ratio between consecutive years, closed to the simplex. This captures the direction and magnitude of change in the full composition, not just the zero structure.</w:t>
      </w:r>
    </w:p>
    <w:p>
      <w:pPr>
        <w:pStyle w:val="Heading3"/>
      </w:pPr>
      <w:r>
        <w:t xml:space="preserve">Aitchison distance series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120"/>
              <w:left w:type="dxa" w:w="300"/>
              <w:bottom w:type="dxa" w:w="120"/>
              <w:right w:type="dxa" w:w="200"/>
            </w:tcMar>
          </w:tcPr>
          <w:p>
            <w:pPr>
              <w:spacing w:after="80" w:line="280"/>
            </w:pPr>
            <w:r>
              <w:rPr>
                <w:rFonts w:ascii="Courier New" w:cs="Courier New" w:eastAsia="Courier New" w:hAnsi="Courier New"/>
                <w:color w:val="0A1628"/>
                <w:sz w:val="20"/>
                <w:szCs w:val="20"/>
              </w:rPr>
              <w:t xml:space="preserve">d_A(t) = || clr(Δ(t)) ||</w:t>
            </w:r>
          </w:p>
        </w:tc>
      </w:tr>
    </w:tbl>
    <w:p>
      <w:pPr>
        <w:spacing w:after="160" w:line="300"/>
      </w:pPr>
      <w:r>
        <w:rPr>
          <w:sz w:val="22"/>
          <w:szCs w:val="22"/>
        </w:rPr>
        <w:t xml:space="preserve">Each year-pair gets a scalar drift magnitude. Plotting this over time produces a drift profile for each country.</w:t>
      </w:r>
    </w:p>
    <w:p>
      <w:pPr>
        <w:pStyle w:val="Heading3"/>
      </w:pPr>
      <w:r>
        <w:t xml:space="preserve">Self-calibrated flagging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120"/>
              <w:left w:type="dxa" w:w="300"/>
              <w:bottom w:type="dxa" w:w="120"/>
              <w:right w:type="dxa" w:w="200"/>
            </w:tcMar>
          </w:tcPr>
          <w:p>
            <w:pPr>
              <w:spacing w:after="80" w:line="280"/>
            </w:pPr>
            <w:r>
              <w:rPr>
                <w:rFonts w:ascii="Courier New" w:cs="Courier New" w:eastAsia="Courier New" w:hAnsi="Courier New"/>
                <w:color w:val="0A1628"/>
                <w:sz w:val="20"/>
                <w:szCs w:val="20"/>
              </w:rPr>
              <w:t xml:space="preserve">Flag when d_A(t) &gt; μ + 2σ  (computed per country)</w:t>
            </w:r>
          </w:p>
        </w:tc>
      </w:tr>
    </w:tbl>
    <w:p>
      <w:pPr>
        <w:pStyle w:val="Heading2"/>
      </w:pPr>
      <w:r>
        <w:t xml:space="preserve">What This Reveals in Your Domain</w:t>
      </w:r>
    </w:p>
    <w:p>
      <w:pPr>
        <w:spacing w:after="160" w:line="300"/>
      </w:pPr>
      <w:r>
        <w:rPr>
          <w:sz w:val="22"/>
          <w:szCs w:val="22"/>
        </w:rPr>
        <w:t xml:space="preserve">Applied to the same energy-mix data your clustering uses, the monitoring protocol produces results that directly inform cluster interpretation:</w:t>
      </w:r>
    </w:p>
    <w:p>
      <w:pPr>
        <w:spacing w:after="160" w:line="300"/>
      </w:pPr>
      <w:r>
        <w:rPr>
          <w:b/>
          <w:bCs/>
          <w:sz w:val="22"/>
          <w:szCs w:val="22"/>
        </w:rPr>
        <w:t xml:space="preserve">Japan (d_A = 9.05 in 2013–2014): </w:t>
      </w:r>
      <w:r>
        <w:rPr>
          <w:sz w:val="22"/>
          <w:szCs w:val="22"/>
        </w:rPr>
        <w:t xml:space="preserve">The largest perturbation spike in the dataset. The Fukushima disaster (March 2011) fully absorbed in annual data by 2013–2014. Japan did not gradually transition between clusters — it underwent a sudden structural break. Your clustering would place pre-Fukushima Japan with nuclear-producing nations and post-Fukushima Japan with non-nuclear nations, but the transition itself is invisible to cross-sectional analysis.</w:t>
      </w:r>
    </w:p>
    <w:p>
      <w:pPr>
        <w:spacing w:after="160" w:line="300"/>
      </w:pPr>
      <w:r>
        <w:rPr>
          <w:b/>
          <w:bCs/>
          <w:sz w:val="22"/>
          <w:szCs w:val="22"/>
        </w:rPr>
        <w:t xml:space="preserve">Germany (d_A = 9.07 in 2023–2024, 5.73 in 2024–2025): </w:t>
      </w:r>
      <w:r>
        <w:rPr>
          <w:sz w:val="22"/>
          <w:szCs w:val="22"/>
        </w:rPr>
        <w:t xml:space="preserve">Germany's final nuclear shutdown (April 2023) produces the largest German perturbation, followed by post-nuclear rebalancing. In your clustering, Germany shifts steadily toward the renewable vertex across successive snapshots.</w:t>
      </w:r>
    </w:p>
    <w:p>
      <w:pPr>
        <w:spacing w:after="160" w:line="300"/>
      </w:pPr>
      <w:r>
        <w:rPr>
          <w:b/>
          <w:bCs/>
          <w:sz w:val="22"/>
          <w:szCs w:val="22"/>
        </w:rPr>
        <w:t xml:space="preserve">UK (3 flags: d_A = 2.98, 3.23, 3.26): </w:t>
      </w:r>
      <w:r>
        <w:rPr>
          <w:sz w:val="22"/>
          <w:szCs w:val="22"/>
        </w:rPr>
        <w:t xml:space="preserve">The UK's dash-for-gas (2004–2005), coal collapse (2017–2018), and COVID + coal near-zero (2019–2020) produce sustained elevated distance. A different signature from Japan's spike — not a single shock but a multi-year regime change.</w:t>
      </w:r>
    </w:p>
    <w:p>
      <w:pPr>
        <w:pStyle w:val="Heading2"/>
      </w:pPr>
      <w:r>
        <w:t xml:space="preserve">The Complementary Relationship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0D7377" w:sz="12"/>
              <w:bottom w:val="single" w:color="DDDDDD" w:sz="1"/>
              <w:right w:val="single" w:color="DDDDDD" w:sz="1"/>
            </w:tcBorders>
            <w:shd w:fill="F4F7F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00"/>
            </w:pPr>
            <w:r>
              <w:rPr>
                <w:i/>
                <w:iCs/>
                <w:color w:val="0A1628"/>
                <w:sz w:val="22"/>
                <w:szCs w:val="22"/>
              </w:rPr>
              <w:t xml:space="preserve">Your clustering answers: 'Which countries look similar at a given moment?' The monitoring protocol answers: 'When and how fast did a country change?' Together, they would provide both the static grouping and the dynamic trajectory — not just where countries are, but how they got there and how quickly they moved.</w:t>
            </w:r>
          </w:p>
        </w:tc>
      </w:tr>
    </w:tbl>
    <w:p>
      <w:pPr>
        <w:spacing w:after="80"/>
      </w:pPr>
    </w:p>
    <w:p>
      <w:pPr>
        <w:spacing w:after="160" w:line="300"/>
      </w:pPr>
      <w:r>
        <w:rPr>
          <w:sz w:val="22"/>
          <w:szCs w:val="22"/>
        </w:rPr>
        <w:t xml:space="preserve">Your zero-handling is particularly interesting in the temporal context. When a zero appears (Japan post-Fukushima) or disappears (Japan restarting reactors), that transition is the most dramatic compositional event in the time series. The perturbation spike captures exactly this structural break.</w:t>
      </w:r>
    </w:p>
    <w:p>
      <w:pPr>
        <w:pStyle w:val="Heading2"/>
      </w:pPr>
      <w:r>
        <w:t xml:space="preserve">Zero Replacement in the Monitoring Protocol</w:t>
      </w:r>
    </w:p>
    <w:p>
      <w:pPr>
        <w:spacing w:after="160" w:line="300"/>
      </w:pPr>
      <w:r>
        <w:rPr>
          <w:sz w:val="22"/>
          <w:szCs w:val="22"/>
        </w:rPr>
        <w:t xml:space="preserve">For the temporal protocol, I use multiplicative replacement with δ = 10⁻⁶ before computing perturbation ratios. This is a simpler approach than your categorical treatment of zeros, because in the time-series context I need continuous-valued compositions at every time step to compute ratios. Your approach of treating the zero pattern as a separate categorical variable may offer a more principled alternative for the temporal case as well — a potential collaboration point.</w:t>
      </w:r>
    </w:p>
    <w:p>
      <w:pPr>
        <w:pStyle w:val="Heading2"/>
      </w:pPr>
      <w:r>
        <w:t xml:space="preserve">Contact</w:t>
      </w:r>
    </w:p>
    <w:p>
      <w:pPr>
        <w:spacing w:after="160" w:line="300"/>
      </w:pPr>
      <w:r>
        <w:rPr>
          <w:sz w:val="22"/>
          <w:szCs w:val="22"/>
        </w:rPr>
        <w:t xml:space="preserve">Peter Higgins  |  Independent Researcher, Markham, Ontario, Canada</w:t>
      </w:r>
    </w:p>
    <w:p>
      <w:pPr>
        <w:spacing w:after="160" w:line="300"/>
      </w:pPr>
      <w:r>
        <w:rPr>
          <w:sz w:val="22"/>
          <w:szCs w:val="22"/>
        </w:rPr>
        <w:t xml:space="preserve">PeterHiggins@roguewaveaudio.com</w:t>
      </w:r>
    </w:p>
    <w:p>
      <w:pPr>
        <w:spacing w:after="160" w:line="300"/>
      </w:pPr>
      <w:r>
        <w:rPr>
          <w:sz w:val="22"/>
          <w:szCs w:val="22"/>
        </w:rPr>
        <w:t xml:space="preserve">All data, code, and documentation: github.com/PeterHiggins19/Higgins-Unity-Framework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A162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0D737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0A162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2026-04-13T19:29:31.515Z</dcterms:created>
  <dcterms:modified xsi:type="dcterms:W3CDTF">2026-04-13T19:29:31.515Z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