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i/>
          <w:iCs/>
          <w:color w:val="888888"/>
          <w:sz w:val="20"/>
          <w:szCs w:val="20"/>
        </w:rPr>
        <w:t xml:space="preserve">Prepared for</w:t>
      </w:r>
    </w:p>
    <w:p>
      <w:pPr>
        <w:spacing w:after="40"/>
        <w:jc w:val="center"/>
      </w:pPr>
      <w:r>
        <w:rPr>
          <w:rFonts w:ascii="Arial" w:cs="Arial" w:eastAsia="Arial" w:hAnsi="Arial"/>
          <w:b/>
          <w:bCs/>
          <w:color w:val="0A1628"/>
          <w:sz w:val="32"/>
          <w:szCs w:val="32"/>
        </w:rPr>
        <w:t xml:space="preserve">Ananya Kanjiradan Veetil &amp; T R Dilip</w:t>
      </w:r>
    </w:p>
    <w:p>
      <w:pPr>
        <w:spacing w:after="300"/>
        <w:jc w:val="center"/>
      </w:pPr>
      <w:r>
        <w:rPr>
          <w:color w:val="666666"/>
          <w:sz w:val="20"/>
          <w:szCs w:val="20"/>
        </w:rPr>
        <w:t xml:space="preserve">International Institute for Population Sciences, India</w:t>
      </w:r>
    </w:p>
    <w:p>
      <w:pPr>
        <w:pStyle w:val="Heading1"/>
      </w:pPr>
      <w:r>
        <w:t xml:space="preserve">Flagging the Transition, Not Just Forecasting It</w:t>
      </w:r>
    </w:p>
    <w:p>
      <w:pPr>
        <w:spacing w:after="160" w:line="300"/>
      </w:pPr>
      <w:r>
        <w:rPr>
          <w:sz w:val="22"/>
          <w:szCs w:val="22"/>
        </w:rPr>
        <w:t xml:space="preserve">Your study on female cancer mortality in India is one of the few contributions at CoDaWork 2026 that treats compositional data explicitly as a time series. Using CoDa methods with VAR models and projections to 2031, you track how the relative burden of breast, cervix, and oral cancers shifts across six Indian regions over 40 years.</w:t>
      </w:r>
    </w:p>
    <w:p>
      <w:pPr>
        <w:spacing w:after="160" w:line="300"/>
      </w:pPr>
      <w:r>
        <w:rPr>
          <w:sz w:val="22"/>
          <w:szCs w:val="22"/>
        </w:rPr>
        <w:t xml:space="preserve">Your key finding — that breast cancer overtook cervix as the leading cause of female cancer mortality at different time points across regions — is a compositional transition event. What follows offers a complementary approach: rather than forecasting when the transition will occur, detecting exactly when it did occur and measuring its magnitude.</w:t>
      </w:r>
    </w:p>
    <w:p>
      <w:pPr>
        <w:pStyle w:val="Heading2"/>
      </w:pPr>
      <w:r>
        <w:t xml:space="preserve">What You Already Have</w:t>
      </w:r>
    </w:p>
    <w:p>
      <w:pPr>
        <w:spacing w:after="160" w:line="300"/>
      </w:pPr>
      <w:r>
        <w:rPr>
          <w:b/>
          <w:bCs/>
          <w:sz w:val="22"/>
          <w:szCs w:val="22"/>
        </w:rPr>
        <w:t xml:space="preserve">Compositional time series: </w:t>
      </w:r>
      <w:r>
        <w:rPr>
          <w:sz w:val="22"/>
          <w:szCs w:val="22"/>
        </w:rPr>
        <w:t xml:space="preserve">Mortality data for breast, cervix, and oral cancers as proportions, forming compositions on the 2-simplex (or 3-simplex with three types), tracked annually from 1980 to 2021.</w:t>
      </w:r>
    </w:p>
    <w:p>
      <w:pPr>
        <w:spacing w:after="160" w:line="300"/>
      </w:pPr>
      <w:r>
        <w:rPr>
          <w:b/>
          <w:bCs/>
          <w:sz w:val="22"/>
          <w:szCs w:val="22"/>
        </w:rPr>
        <w:t xml:space="preserve">Log-ratio transformations: </w:t>
      </w:r>
      <w:r>
        <w:rPr>
          <w:sz w:val="22"/>
          <w:szCs w:val="22"/>
        </w:rPr>
        <w:t xml:space="preserve">You work in CLR/ILR coordinates, preserving the compositional structure.</w:t>
      </w:r>
    </w:p>
    <w:p>
      <w:pPr>
        <w:spacing w:after="160" w:line="300"/>
      </w:pPr>
      <w:r>
        <w:rPr>
          <w:b/>
          <w:bCs/>
          <w:sz w:val="22"/>
          <w:szCs w:val="22"/>
        </w:rPr>
        <w:t xml:space="preserve">VAR forecasting: </w:t>
      </w:r>
      <w:r>
        <w:rPr>
          <w:sz w:val="22"/>
          <w:szCs w:val="22"/>
        </w:rPr>
        <w:t xml:space="preserve">Vector autoregressive models in log-ratio coordinates, projecting forward to 2031.</w:t>
      </w:r>
    </w:p>
    <w:p>
      <w:pPr>
        <w:spacing w:after="160" w:line="300"/>
      </w:pPr>
      <w:r>
        <w:rPr>
          <w:b/>
          <w:bCs/>
          <w:sz w:val="22"/>
          <w:szCs w:val="22"/>
        </w:rPr>
        <w:t xml:space="preserve">Regional comparison: </w:t>
      </w:r>
      <w:r>
        <w:rPr>
          <w:sz w:val="22"/>
          <w:szCs w:val="22"/>
        </w:rPr>
        <w:t xml:space="preserve">Six Indian regions with different transition speeds.</w:t>
      </w:r>
    </w:p>
    <w:p>
      <w:pPr>
        <w:pStyle w:val="Heading2"/>
      </w:pPr>
      <w:r>
        <w:t xml:space="preserve">What the Protocol Adds: Drift Detection</w:t>
      </w:r>
    </w:p>
    <w:p>
      <w:pPr>
        <w:spacing w:after="160" w:line="300"/>
      </w:pPr>
      <w:r>
        <w:rPr>
          <w:sz w:val="22"/>
          <w:szCs w:val="22"/>
        </w:rPr>
        <w:t xml:space="preserve">My CoDaWork contribution presents a monitoring protocol that detects structural change in compositional time series. Rather than fitting a model and projecting, it measures the year-on-year perturbation and flags when a transition event occurs:</w:t>
      </w:r>
    </w:p>
    <w:p>
      <w:pPr>
        <w:pStyle w:val="Heading3"/>
      </w:pPr>
      <w:r>
        <w:t xml:space="preserve">Perturbation difference series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9F9F9" w:val="clear"/>
            <w:tcMar>
              <w:top w:type="dxa" w:w="120"/>
              <w:left w:type="dxa" w:w="300"/>
              <w:bottom w:type="dxa" w:w="120"/>
              <w:right w:type="dxa" w:w="200"/>
            </w:tcMar>
          </w:tcPr>
          <w:p>
            <w:pPr>
              <w:spacing w:after="80" w:line="280"/>
            </w:pPr>
            <w:r>
              <w:rPr>
                <w:rFonts w:ascii="Courier New" w:cs="Courier New" w:eastAsia="Courier New" w:hAnsi="Courier New"/>
                <w:color w:val="0A1628"/>
                <w:sz w:val="20"/>
                <w:szCs w:val="20"/>
              </w:rPr>
              <w:t xml:space="preserve">Δ(t) = C( x_breast(t+1)/x_breast(t),  x_cervix(t+1)/x_cervix(t),  x_oral(t+1)/x_oral(t) )</w:t>
            </w:r>
          </w:p>
        </w:tc>
      </w:tr>
    </w:tbl>
    <w:p>
      <w:pPr>
        <w:spacing w:after="160" w:line="300"/>
      </w:pPr>
      <w:r>
        <w:rPr>
          <w:sz w:val="22"/>
          <w:szCs w:val="22"/>
        </w:rPr>
        <w:t xml:space="preserve">This is the compositional ratio between consecutive years. When breast cancer's share grows while cervix declines, the perturbation vector points in a specific direction on the simplex. The magnitude of the perturbation captures how fast the transition is happening.</w:t>
      </w:r>
    </w:p>
    <w:p>
      <w:pPr>
        <w:pStyle w:val="Heading3"/>
      </w:pPr>
      <w:r>
        <w:t xml:space="preserve">Aitchison distance as transition speed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9F9F9" w:val="clear"/>
            <w:tcMar>
              <w:top w:type="dxa" w:w="120"/>
              <w:left w:type="dxa" w:w="300"/>
              <w:bottom w:type="dxa" w:w="120"/>
              <w:right w:type="dxa" w:w="200"/>
            </w:tcMar>
          </w:tcPr>
          <w:p>
            <w:pPr>
              <w:spacing w:after="80" w:line="280"/>
            </w:pPr>
            <w:r>
              <w:rPr>
                <w:rFonts w:ascii="Courier New" w:cs="Courier New" w:eastAsia="Courier New" w:hAnsi="Courier New"/>
                <w:color w:val="0A1628"/>
                <w:sz w:val="20"/>
                <w:szCs w:val="20"/>
              </w:rPr>
              <w:t xml:space="preserve">d_A(t) = || clr(Δ(t)) ||</w:t>
            </w:r>
          </w:p>
        </w:tc>
      </w:tr>
    </w:tbl>
    <w:p>
      <w:pPr>
        <w:spacing w:after="160" w:line="300"/>
      </w:pPr>
      <w:r>
        <w:rPr>
          <w:sz w:val="22"/>
          <w:szCs w:val="22"/>
        </w:rPr>
        <w:t xml:space="preserve">A scalar measure of how much the cancer composition changed in a single year. Plotting d_A over time gives you a transition speed profile for each region.</w:t>
      </w:r>
    </w:p>
    <w:p>
      <w:pPr>
        <w:pStyle w:val="Heading3"/>
      </w:pPr>
      <w:r>
        <w:t xml:space="preserve">Drift flagging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9F9F9" w:val="clear"/>
            <w:tcMar>
              <w:top w:type="dxa" w:w="120"/>
              <w:left w:type="dxa" w:w="300"/>
              <w:bottom w:type="dxa" w:w="120"/>
              <w:right w:type="dxa" w:w="200"/>
            </w:tcMar>
          </w:tcPr>
          <w:p>
            <w:pPr>
              <w:spacing w:after="80" w:line="280"/>
            </w:pPr>
            <w:r>
              <w:rPr>
                <w:rFonts w:ascii="Courier New" w:cs="Courier New" w:eastAsia="Courier New" w:hAnsi="Courier New"/>
                <w:color w:val="0A1628"/>
                <w:sz w:val="20"/>
                <w:szCs w:val="20"/>
              </w:rPr>
              <w:t xml:space="preserve">Flag when d_A(t) &gt; μ + 2σ  (per region)</w:t>
            </w:r>
          </w:p>
        </w:tc>
      </w:tr>
    </w:tbl>
    <w:p>
      <w:pPr>
        <w:spacing w:after="160" w:line="300"/>
      </w:pPr>
      <w:r>
        <w:rPr>
          <w:sz w:val="22"/>
          <w:szCs w:val="22"/>
        </w:rPr>
        <w:t xml:space="preserve">Self-calibrated against each region's own historical variability. A flag means: this year, the cancer composition changed significantly more than usual for this region.</w:t>
      </w:r>
    </w:p>
    <w:p>
      <w:pPr>
        <w:pStyle w:val="Heading2"/>
      </w:pPr>
      <w:r>
        <w:t xml:space="preserve">What This Reveals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0D7377" w:sz="12"/>
              <w:bottom w:val="single" w:color="DDDDDD" w:sz="1"/>
              <w:right w:val="single" w:color="DDDDDD" w:sz="1"/>
            </w:tcBorders>
            <w:shd w:fill="F4F7FA" w:val="clear"/>
            <w:tcMar>
              <w:top w:type="dxa" w:w="120"/>
              <w:left w:type="dxa" w:w="200"/>
              <w:bottom w:type="dxa" w:w="120"/>
              <w:right w:type="dxa" w:w="200"/>
            </w:tcMar>
          </w:tcPr>
          <w:p>
            <w:pPr>
              <w:spacing w:after="0" w:line="300"/>
            </w:pPr>
            <w:r>
              <w:rPr>
                <w:i/>
                <w:iCs/>
                <w:color w:val="0A1628"/>
                <w:sz w:val="22"/>
                <w:szCs w:val="22"/>
              </w:rPr>
              <w:t xml:space="preserve">The year breast cancer overtook cervix in each region would appear as a perturbation event in the d_A time series. But more than that: the protocol would reveal whether the transition was a sudden crossover (a spike) or a gradual shift (sustained elevated distance). Your qualitative observation that 'the speed of transition differs across regions' becomes a quantitative measurement.</w:t>
            </w:r>
          </w:p>
        </w:tc>
      </w:tr>
    </w:tbl>
    <w:p>
      <w:pPr>
        <w:spacing w:after="80"/>
      </w:pPr>
    </w:p>
    <w:p>
      <w:pPr>
        <w:spacing w:after="160" w:line="300"/>
      </w:pPr>
      <w:r>
        <w:rPr>
          <w:sz w:val="22"/>
          <w:szCs w:val="22"/>
        </w:rPr>
        <w:t xml:space="preserve">Consider the comparison:</w:t>
      </w:r>
    </w:p>
    <w:p>
      <w:pPr>
        <w:spacing w:after="160" w:line="300"/>
      </w:pPr>
      <w:r>
        <w:rPr>
          <w:b/>
          <w:bCs/>
          <w:sz w:val="22"/>
          <w:szCs w:val="22"/>
        </w:rPr>
        <w:t xml:space="preserve">Your approach: </w:t>
      </w:r>
      <w:r>
        <w:rPr>
          <w:sz w:val="22"/>
          <w:szCs w:val="22"/>
        </w:rPr>
        <w:t xml:space="preserve">VAR model fits the trajectory and projects forward. Answers: 'When will breast cancer dominate in this region?'</w:t>
      </w:r>
    </w:p>
    <w:p>
      <w:pPr>
        <w:spacing w:after="160" w:line="300"/>
      </w:pPr>
      <w:r>
        <w:rPr>
          <w:b/>
          <w:bCs/>
          <w:sz w:val="22"/>
          <w:szCs w:val="22"/>
        </w:rPr>
        <w:t xml:space="preserve">The monitoring protocol: </w:t>
      </w:r>
      <w:r>
        <w:rPr>
          <w:sz w:val="22"/>
          <w:szCs w:val="22"/>
        </w:rPr>
        <w:t xml:space="preserve">Perturbation series flags transition events. Answers: 'When did the composition change significantly, and by how much?'</w:t>
      </w:r>
    </w:p>
    <w:p>
      <w:pPr>
        <w:spacing w:after="160" w:line="300"/>
      </w:pPr>
      <w:r>
        <w:rPr>
          <w:sz w:val="22"/>
          <w:szCs w:val="22"/>
        </w:rPr>
        <w:t xml:space="preserve">These are complementary. Your VAR model forecasts the destination. The monitoring protocol characterises the journey — was it smooth or punctuated? Were there reversals? Did some regions accelerate while others stalled?</w:t>
      </w:r>
    </w:p>
    <w:p>
      <w:pPr>
        <w:pStyle w:val="Heading2"/>
      </w:pPr>
      <w:r>
        <w:t xml:space="preserve">Empirical Demonstration: Energy Mix</w:t>
      </w:r>
    </w:p>
    <w:p>
      <w:pPr>
        <w:spacing w:after="160" w:line="300"/>
      </w:pPr>
      <w:r>
        <w:rPr>
          <w:sz w:val="22"/>
          <w:szCs w:val="22"/>
        </w:rPr>
        <w:t xml:space="preserve">I demonstrate the protocol on electricity generation compositions for Germany, Japan, and the UK (2000–2025). The structure is analogous:</w:t>
      </w:r>
    </w:p>
    <w:p>
      <w:pPr>
        <w:spacing w:after="160" w:line="300"/>
      </w:pPr>
      <w:r>
        <w:rPr>
          <w:b/>
          <w:bCs/>
          <w:sz w:val="22"/>
          <w:szCs w:val="22"/>
        </w:rPr>
        <w:t xml:space="preserve">Your simplex: </w:t>
      </w:r>
      <w:r>
        <w:rPr>
          <w:sz w:val="22"/>
          <w:szCs w:val="22"/>
        </w:rPr>
        <w:t xml:space="preserve">(breast, cervix, oral) cancer mortality shares</w:t>
      </w:r>
    </w:p>
    <w:p>
      <w:pPr>
        <w:spacing w:after="160" w:line="300"/>
      </w:pPr>
      <w:r>
        <w:rPr>
          <w:b/>
          <w:bCs/>
          <w:sz w:val="22"/>
          <w:szCs w:val="22"/>
        </w:rPr>
        <w:t xml:space="preserve">My simplex: </w:t>
      </w:r>
      <w:r>
        <w:rPr>
          <w:sz w:val="22"/>
          <w:szCs w:val="22"/>
        </w:rPr>
        <w:t xml:space="preserve">(coal, gas, nuclear, hydro, solar, wind, bio, other fossil, other renewables) generation shares</w:t>
      </w:r>
    </w:p>
    <w:p>
      <w:pPr>
        <w:spacing w:after="160" w:line="300"/>
      </w:pPr>
      <w:r>
        <w:rPr>
          <w:sz w:val="22"/>
          <w:szCs w:val="22"/>
        </w:rPr>
        <w:t xml:space="preserve">Both track how a bounded allocation evolves over decades. The protocol flags 7 energy transitions corresponding to documented policy events. The same machinery would flag cancer transitions corresponding to demographic and healthcare changes in your Indian regions.</w:t>
      </w:r>
    </w:p>
    <w:p>
      <w:pPr>
        <w:pStyle w:val="Heading2"/>
      </w:pPr>
      <w:r>
        <w:t xml:space="preserve">Effective Diversity as a Concentration Measure</w:t>
      </w:r>
    </w:p>
    <w:p>
      <w:pPr>
        <w:spacing w:after="160" w:line="300"/>
      </w:pPr>
      <w:r>
        <w:rPr>
          <w:sz w:val="22"/>
          <w:szCs w:val="22"/>
        </w:rPr>
        <w:t xml:space="preserve">The protocol also computes effective diversity for each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9F9F9" w:val="clear"/>
            <w:tcMar>
              <w:top w:type="dxa" w:w="120"/>
              <w:left w:type="dxa" w:w="300"/>
              <w:bottom w:type="dxa" w:w="120"/>
              <w:right w:type="dxa" w:w="200"/>
            </w:tcMar>
          </w:tcPr>
          <w:p>
            <w:pPr>
              <w:spacing w:after="80" w:line="280"/>
            </w:pPr>
            <w:r>
              <w:rPr>
                <w:rFonts w:ascii="Courier New" w:cs="Courier New" w:eastAsia="Courier New" w:hAnsi="Courier New"/>
                <w:color w:val="0A1628"/>
                <w:sz w:val="20"/>
                <w:szCs w:val="20"/>
              </w:rPr>
              <w:t xml:space="preserve">N_eff = exp(H)  where H = -Σ x_i ln(x_i)</w:t>
            </w:r>
          </w:p>
        </w:tc>
      </w:tr>
    </w:tbl>
    <w:p>
      <w:pPr>
        <w:spacing w:after="160" w:line="300"/>
      </w:pPr>
      <w:r>
        <w:rPr>
          <w:sz w:val="22"/>
          <w:szCs w:val="22"/>
        </w:rPr>
        <w:t xml:space="preserve">In your context, this measures how concentrated the cancer burden is. A region where breast cancer dominates completely has low N_eff (approaching 1). A region where all three cancer types contribute equally has high N_eff (approaching 3). Tracking N_eff over time shows whether the cancer landscape is concentrating or diversifying.</w:t>
      </w:r>
    </w:p>
    <w:p>
      <w:pPr>
        <w:pStyle w:val="Heading2"/>
      </w:pPr>
      <w:r>
        <w:t xml:space="preserve">Open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0D7377" w:sz="12"/>
              <w:bottom w:val="single" w:color="DDDDDD" w:sz="1"/>
              <w:right w:val="single" w:color="DDDDDD" w:sz="1"/>
            </w:tcBorders>
            <w:shd w:fill="F4F7FA" w:val="clear"/>
            <w:tcMar>
              <w:top w:type="dxa" w:w="120"/>
              <w:left w:type="dxa" w:w="200"/>
              <w:bottom w:type="dxa" w:w="120"/>
              <w:right w:type="dxa" w:w="200"/>
            </w:tcMar>
          </w:tcPr>
          <w:p>
            <w:pPr>
              <w:spacing w:after="0" w:line="300"/>
            </w:pPr>
            <w:r>
              <w:rPr>
                <w:i/>
                <w:iCs/>
                <w:color w:val="0A1628"/>
                <w:sz w:val="22"/>
                <w:szCs w:val="22"/>
              </w:rPr>
              <w:t xml:space="preserve">The relationship between effective diversity N_eff and the Aitchison norm of the composition is an open question in my work. Your cancer mortality data — low-dimensional (3 parts), long time span (40 years), with a clear transition narrative — may be an ideal setting to investigate this relationship. I would welcome the opportunity to explore this together.</w:t>
            </w:r>
          </w:p>
        </w:tc>
      </w:tr>
    </w:tbl>
    <w:p>
      <w:pPr>
        <w:spacing w:after="80"/>
      </w:pPr>
    </w:p>
    <w:p>
      <w:pPr>
        <w:pStyle w:val="Heading2"/>
      </w:pPr>
      <w:r>
        <w:t xml:space="preserve">Contact</w:t>
      </w:r>
    </w:p>
    <w:p>
      <w:pPr>
        <w:spacing w:after="160" w:line="300"/>
      </w:pPr>
      <w:r>
        <w:rPr>
          <w:sz w:val="22"/>
          <w:szCs w:val="22"/>
        </w:rPr>
        <w:t xml:space="preserve">Peter Higgins  |  Independent Researcher, Markham, Ontario, Canada</w:t>
      </w:r>
    </w:p>
    <w:p>
      <w:pPr>
        <w:spacing w:after="160" w:line="300"/>
      </w:pPr>
      <w:r>
        <w:rPr>
          <w:sz w:val="22"/>
          <w:szCs w:val="22"/>
        </w:rPr>
        <w:t xml:space="preserve">PeterHiggins@roguewaveaudio.com</w:t>
      </w:r>
    </w:p>
    <w:p>
      <w:pPr>
        <w:spacing w:after="160" w:line="300"/>
      </w:pPr>
      <w:r>
        <w:rPr>
          <w:sz w:val="22"/>
          <w:szCs w:val="22"/>
        </w:rPr>
        <w:t xml:space="preserve">All data, code, and documentation: github.com/PeterHiggins19/Higgins-Unity-Framework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A1628"/>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0D7377"/>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0A16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2026-04-13T19:29:31.520Z</dcterms:created>
  <dcterms:modified xsi:type="dcterms:W3CDTF">2026-04-13T19:29:31.520Z</dcterms:modified>
</cp:coreProperties>
</file>

<file path=docProps/custom.xml><?xml version="1.0" encoding="utf-8"?>
<Properties xmlns="http://schemas.openxmlformats.org/officeDocument/2006/custom-properties" xmlns:vt="http://schemas.openxmlformats.org/officeDocument/2006/docPropsVTypes"/>
</file>