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i/>
          <w:iCs/>
          <w:color w:val="888888"/>
          <w:sz w:val="20"/>
          <w:szCs w:val="20"/>
        </w:rPr>
        <w:t xml:space="preserve">Prepared for</w:t>
      </w:r>
    </w:p>
    <w:p>
      <w:pPr>
        <w:spacing w:after="40"/>
        <w:jc w:val="center"/>
      </w:pPr>
      <w:r>
        <w:rPr>
          <w:rFonts w:ascii="Arial" w:cs="Arial" w:eastAsia="Arial" w:hAnsi="Arial"/>
          <w:b/>
          <w:bCs/>
          <w:color w:val="0A1628"/>
          <w:sz w:val="36"/>
          <w:szCs w:val="36"/>
        </w:rPr>
        <w:t xml:space="preserve">Jayanth Kumar Narayana</w:t>
      </w:r>
    </w:p>
    <w:p>
      <w:pPr>
        <w:spacing w:after="300"/>
        <w:jc w:val="center"/>
      </w:pPr>
      <w:r>
        <w:rPr>
          <w:color w:val="666666"/>
          <w:sz w:val="20"/>
          <w:szCs w:val="20"/>
        </w:rPr>
        <w:t xml:space="preserve">Lee Kong Chian School of Medicine, NTU Singapore</w:t>
      </w:r>
    </w:p>
    <w:p>
      <w:pPr>
        <w:pStyle w:val="Heading1"/>
      </w:pPr>
      <w:r>
        <w:t xml:space="preserve">Your Moving Window, Formalised</w:t>
      </w:r>
    </w:p>
    <w:p>
      <w:pPr>
        <w:spacing w:after="160" w:line="300"/>
      </w:pPr>
      <w:r>
        <w:rPr>
          <w:sz w:val="22"/>
          <w:szCs w:val="22"/>
        </w:rPr>
        <w:t xml:space="preserve">Your COPD clinical trial abstract demonstrates something remarkable: you applied inverse perturbation, Aitchison norm measurement, and moving-window analysis to 256 sputum microbiome samples across 52 weeks. You found three distinct temporal patterns that standard methods (diversity indices, Bray-Curtis, PERMANOVA) completely missed.</w:t>
      </w:r>
    </w:p>
    <w:p>
      <w:pPr>
        <w:spacing w:after="160" w:line="300"/>
      </w:pPr>
      <w:r>
        <w:rPr>
          <w:sz w:val="22"/>
          <w:szCs w:val="22"/>
        </w:rPr>
        <w:t xml:space="preserve">What follows is a formal monitoring protocol that gives your moving-window approach a calibrated detection framework. Every tool below comes from the same Aitchison geometry your abstract already uses.</w:t>
      </w:r>
    </w:p>
    <w:p>
      <w:pPr>
        <w:pStyle w:val="Heading2"/>
      </w:pPr>
      <w:r>
        <w:t xml:space="preserve">What You Already Have</w:t>
      </w:r>
    </w:p>
    <w:p>
      <w:pPr>
        <w:spacing w:after="160" w:line="300"/>
      </w:pPr>
      <w:r>
        <w:rPr>
          <w:b/>
          <w:bCs/>
          <w:sz w:val="22"/>
          <w:szCs w:val="22"/>
        </w:rPr>
        <w:t xml:space="preserve">Perturbation: </w:t>
      </w:r>
      <w:r>
        <w:rPr>
          <w:sz w:val="22"/>
          <w:szCs w:val="22"/>
        </w:rPr>
        <w:t xml:space="preserve">You compute trial-end ⊖ baseline as inverse perturbation to measure treatment-induced compositional change.</w:t>
      </w:r>
    </w:p>
    <w:p>
      <w:pPr>
        <w:spacing w:after="160" w:line="300"/>
      </w:pPr>
      <w:r>
        <w:rPr>
          <w:b/>
          <w:bCs/>
          <w:sz w:val="22"/>
          <w:szCs w:val="22"/>
        </w:rPr>
        <w:t xml:space="preserve">Aitchison norm: </w:t>
      </w:r>
      <w:r>
        <w:rPr>
          <w:sz w:val="22"/>
          <w:szCs w:val="22"/>
        </w:rPr>
        <w:t xml:space="preserve">You quantify the magnitude of that change, finding treatment arms significantly exceed placebo (p &lt; 0.05).</w:t>
      </w:r>
    </w:p>
    <w:p>
      <w:pPr>
        <w:spacing w:after="160" w:line="300"/>
      </w:pPr>
      <w:r>
        <w:rPr>
          <w:b/>
          <w:bCs/>
          <w:sz w:val="22"/>
          <w:szCs w:val="22"/>
        </w:rPr>
        <w:t xml:space="preserve">Moving window: </w:t>
      </w:r>
      <w:r>
        <w:rPr>
          <w:sz w:val="22"/>
          <w:szCs w:val="22"/>
        </w:rPr>
        <w:t xml:space="preserve">You analyse consecutive visit pairs to discover time-dependent effects — consistent (Rothia), short-term (Burkholderia, 0–3 months), and long-term (Moraxella, 9–12 months).</w:t>
      </w:r>
    </w:p>
    <w:p>
      <w:pPr>
        <w:pStyle w:val="Heading2"/>
      </w:pPr>
      <w:r>
        <w:t xml:space="preserve">What the Protocol Adds</w:t>
      </w:r>
    </w:p>
    <w:p>
      <w:pPr>
        <w:spacing w:after="160" w:line="300"/>
      </w:pPr>
      <w:r>
        <w:rPr>
          <w:sz w:val="22"/>
          <w:szCs w:val="22"/>
        </w:rPr>
        <w:t xml:space="preserve">The monitoring protocol I present at CoDaWork formalises the step from your moving-window observations to calibrated drift detection:</w:t>
      </w:r>
    </w:p>
    <w:p>
      <w:pPr>
        <w:pStyle w:val="Heading3"/>
      </w:pPr>
      <w:r>
        <w:t xml:space="preserve">1. Perturbation difference series</w:t>
      </w:r>
    </w:p>
    <w:p>
      <w:pPr>
        <w:spacing w:after="160" w:line="300"/>
      </w:pPr>
      <w:r>
        <w:rPr>
          <w:sz w:val="22"/>
          <w:szCs w:val="22"/>
        </w:rPr>
        <w:t xml:space="preserve">For each consecutive visit pair (t, t+1), compute the perturbation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300"/>
              <w:bottom w:type="dxa" w:w="120"/>
              <w:right w:type="dxa" w:w="200"/>
            </w:tcMar>
          </w:tcPr>
          <w:p>
            <w:pPr>
              <w:spacing w:after="80" w:line="280"/>
            </w:pPr>
            <w:r>
              <w:rPr>
                <w:rFonts w:ascii="Courier New" w:cs="Courier New" w:eastAsia="Courier New" w:hAnsi="Courier New"/>
                <w:color w:val="0A1628"/>
                <w:sz w:val="20"/>
                <w:szCs w:val="20"/>
              </w:rPr>
              <w:t xml:space="preserve">Δ(t) = C( x₁(t+1)/x₁(t), x₂(t+1)/x₂(t), ..., x_D(t+1)/x_D(t) )</w:t>
            </w:r>
          </w:p>
        </w:tc>
      </w:tr>
    </w:tbl>
    <w:p>
      <w:pPr>
        <w:spacing w:after="160" w:line="300"/>
      </w:pPr>
      <w:r>
        <w:rPr>
          <w:sz w:val="22"/>
          <w:szCs w:val="22"/>
        </w:rPr>
        <w:t xml:space="preserve">This is the compositional ratio between consecutive observations, closed to the simplex. You are already doing this implicitly in your moving-window analysis. The protocol makes it explicit and stores the full perturbation vector, not just the scalar norm.</w:t>
      </w:r>
    </w:p>
    <w:p>
      <w:pPr>
        <w:pStyle w:val="Heading3"/>
      </w:pPr>
      <w:r>
        <w:t xml:space="preserve">2. Aitchison distance as drift magnitude</w:t>
      </w:r>
    </w:p>
    <w:p>
      <w:pPr>
        <w:spacing w:after="160" w:line="300"/>
      </w:pPr>
      <w:r>
        <w:rPr>
          <w:sz w:val="22"/>
          <w:szCs w:val="22"/>
        </w:rPr>
        <w:t xml:space="preserve">The magnitude of each perturbation is measured as Aitchison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300"/>
              <w:bottom w:type="dxa" w:w="120"/>
              <w:right w:type="dxa" w:w="200"/>
            </w:tcMar>
          </w:tcPr>
          <w:p>
            <w:pPr>
              <w:spacing w:after="80" w:line="280"/>
            </w:pPr>
            <w:r>
              <w:rPr>
                <w:rFonts w:ascii="Courier New" w:cs="Courier New" w:eastAsia="Courier New" w:hAnsi="Courier New"/>
                <w:color w:val="0A1628"/>
                <w:sz w:val="20"/>
                <w:szCs w:val="20"/>
              </w:rPr>
              <w:t xml:space="preserve">d_A(t) = || clr(Δ(t)) ||</w:t>
            </w:r>
          </w:p>
          <w:p>
            <w:pPr>
              <w:spacing w:after="80" w:line="280"/>
            </w:pPr>
            <w:r>
              <w:rPr>
                <w:rFonts w:ascii="Courier New" w:cs="Courier New" w:eastAsia="Courier New" w:hAnsi="Courier New"/>
                <w:color w:val="0A1628"/>
                <w:sz w:val="20"/>
                <w:szCs w:val="20"/>
              </w:rPr>
              <w:t xml:space="preserve">where clr(x) = ( ln(x_i / g(x)) )  and  g(x) = geometric mean</w:t>
            </w:r>
          </w:p>
        </w:tc>
      </w:tr>
    </w:tbl>
    <w:p>
      <w:pPr>
        <w:spacing w:after="160" w:line="300"/>
      </w:pPr>
      <w:r>
        <w:rPr>
          <w:sz w:val="22"/>
          <w:szCs w:val="22"/>
        </w:rPr>
        <w:t xml:space="preserve">You already compute this as the Aitchison norm. The protocol tracks it as a time series, giving you a distance profile across all visit pairs.</w:t>
      </w:r>
    </w:p>
    <w:p>
      <w:pPr>
        <w:pStyle w:val="Heading3"/>
      </w:pPr>
      <w:r>
        <w:t xml:space="preserve">3. Self-calibrated drift threshold</w:t>
      </w:r>
    </w:p>
    <w:p>
      <w:pPr>
        <w:spacing w:after="160" w:line="300"/>
      </w:pPr>
      <w:r>
        <w:rPr>
          <w:sz w:val="22"/>
          <w:szCs w:val="22"/>
        </w:rPr>
        <w:t xml:space="preserve">Rather than requiring an external significance threshold, the protocol learns the baseline variability from the data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300"/>
              <w:bottom w:type="dxa" w:w="120"/>
              <w:right w:type="dxa" w:w="200"/>
            </w:tcMar>
          </w:tcPr>
          <w:p>
            <w:pPr>
              <w:spacing w:after="80" w:line="280"/>
            </w:pPr>
            <w:r>
              <w:rPr>
                <w:rFonts w:ascii="Courier New" w:cs="Courier New" w:eastAsia="Courier New" w:hAnsi="Courier New"/>
                <w:color w:val="0A1628"/>
                <w:sz w:val="20"/>
                <w:szCs w:val="20"/>
              </w:rPr>
              <w:t xml:space="preserve">threshold = μ(d_A) + 2σ(d_A)</w:t>
            </w:r>
          </w:p>
          <w:p>
            <w:pPr>
              <w:spacing w:after="80" w:line="280"/>
            </w:pPr>
            <w:r>
              <w:rPr>
                <w:rFonts w:ascii="Courier New" w:cs="Courier New" w:eastAsia="Courier New" w:hAnsi="Courier New"/>
                <w:color w:val="0A1628"/>
                <w:sz w:val="20"/>
                <w:szCs w:val="20"/>
              </w:rPr>
              <w:t xml:space="preserve">computed over all visit pairs within each patient or group</w:t>
            </w:r>
          </w:p>
        </w:tc>
      </w:tr>
    </w:tbl>
    <w:p>
      <w:pPr>
        <w:spacing w:after="160" w:line="300"/>
      </w:pPr>
      <w:r>
        <w:rPr>
          <w:sz w:val="22"/>
          <w:szCs w:val="22"/>
        </w:rPr>
        <w:t xml:space="preserve">Any visit pair whose Aitchison distance exceeds this threshold is flagged as a drift event. In your data, this would formally flag the visits where Burkholderia shifts (short-term) and where Moraxella effects emerge (long-term), rather than requiring post-hoc narrative identification.</w:t>
      </w:r>
    </w:p>
    <w:p>
      <w:pPr>
        <w:pStyle w:val="Heading3"/>
      </w:pPr>
      <w:r>
        <w:t xml:space="preserve">4. Cumulative distance tracking</w:t>
      </w:r>
    </w:p>
    <w:p>
      <w:pPr>
        <w:spacing w:after="160" w:line="300"/>
      </w:pPr>
      <w:r>
        <w:rPr>
          <w:sz w:val="22"/>
          <w:szCs w:val="22"/>
        </w:rPr>
        <w:t xml:space="preserve">The protocol also computes cumulative Aitchison distance from baseline, giving you a trajectory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300"/>
              <w:bottom w:type="dxa" w:w="120"/>
              <w:right w:type="dxa" w:w="200"/>
            </w:tcMar>
          </w:tcPr>
          <w:p>
            <w:pPr>
              <w:spacing w:after="80" w:line="280"/>
            </w:pPr>
            <w:r>
              <w:rPr>
                <w:rFonts w:ascii="Courier New" w:cs="Courier New" w:eastAsia="Courier New" w:hAnsi="Courier New"/>
                <w:color w:val="0A1628"/>
                <w:sz w:val="20"/>
                <w:szCs w:val="20"/>
              </w:rPr>
              <w:t xml:space="preserve">D_cumulative(T) = Σ d_A(t)  for t = 1 to T</w:t>
            </w:r>
          </w:p>
        </w:tc>
      </w:tr>
    </w:tbl>
    <w:p>
      <w:pPr>
        <w:spacing w:after="160" w:line="300"/>
      </w:pPr>
      <w:r>
        <w:rPr>
          <w:sz w:val="22"/>
          <w:szCs w:val="22"/>
        </w:rPr>
        <w:t xml:space="preserve">This separates patients whose microbiome drifts steadily from those who experience sudden regime changes. In your doxycycline arm, you would see whether the three temporal patterns (consistent, short-term, long-term) produce different cumulative trajectory shapes.</w:t>
      </w:r>
    </w:p>
    <w:p>
      <w:pPr>
        <w:pStyle w:val="Heading2"/>
      </w:pPr>
      <w:r>
        <w:t xml:space="preserve">What This Means for Your COPD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D7377" w:sz="12"/>
              <w:bottom w:val="single" w:color="DDDDDD" w:sz="1"/>
              <w:right w:val="single" w:color="DDDDDD" w:sz="1"/>
            </w:tcBorders>
            <w:shd w:fill="F4F7FA" w:val="clear"/>
            <w:tcMar>
              <w:top w:type="dxa" w:w="120"/>
              <w:left w:type="dxa" w:w="200"/>
              <w:bottom w:type="dxa" w:w="120"/>
              <w:right w:type="dxa" w:w="200"/>
            </w:tcMar>
          </w:tcPr>
          <w:p>
            <w:pPr>
              <w:spacing w:after="0" w:line="300"/>
            </w:pPr>
            <w:r>
              <w:rPr>
                <w:i/>
                <w:iCs/>
                <w:color w:val="0A1628"/>
                <w:sz w:val="22"/>
                <w:szCs w:val="22"/>
              </w:rPr>
              <w:t xml:space="preserve">Your 52-week trial with 3-month sampling intervals gives you approximately 4–5 consecutive visit pairs per patient. The protocol would produce a drift profile for each patient, flag individual visits where the microbiome undergoes significant structural change, and distinguish treatment responders from non-responders based on trajectory shape rather than endpoint comparison.</w:t>
            </w:r>
          </w:p>
        </w:tc>
      </w:tr>
    </w:tbl>
    <w:p>
      <w:pPr>
        <w:spacing w:after="80"/>
      </w:pPr>
    </w:p>
    <w:p>
      <w:pPr>
        <w:spacing w:after="160" w:line="300"/>
      </w:pPr>
      <w:r>
        <w:rPr>
          <w:sz w:val="22"/>
          <w:szCs w:val="22"/>
        </w:rPr>
        <w:t xml:space="preserve">Your abstract concludes that perturbation-based methods reveal temporal dynamics masked by distance-based approaches. The monitoring protocol provides the formal machinery to make those dynamics quantifiable, reproducible, and automatically detectable.</w:t>
      </w:r>
    </w:p>
    <w:p>
      <w:pPr>
        <w:pStyle w:val="Heading2"/>
      </w:pPr>
      <w:r>
        <w:t xml:space="preserve">Empirical Demonstration: Energy Mix</w:t>
      </w:r>
    </w:p>
    <w:p>
      <w:pPr>
        <w:spacing w:after="160" w:line="300"/>
      </w:pPr>
      <w:r>
        <w:rPr>
          <w:sz w:val="22"/>
          <w:szCs w:val="22"/>
        </w:rPr>
        <w:t xml:space="preserve">My CoDaWork talk demonstrates this protocol on EMBER electricity generation data for Germany, Japan, and the United Kingdom (2000–2025), with 9 energy carriers forming compositions on the 8-simplex. The protocol flags 7 drift events across 3 countries, each corresponding to a documented energy-policy event:</w:t>
      </w:r>
    </w:p>
    <w:p>
      <w:pPr>
        <w:spacing w:after="160" w:line="300"/>
      </w:pPr>
      <w:r>
        <w:rPr>
          <w:b/>
          <w:bCs/>
          <w:sz w:val="22"/>
          <w:szCs w:val="22"/>
        </w:rPr>
        <w:t xml:space="preserve">Japan 2013–2014: </w:t>
      </w:r>
      <w:r>
        <w:rPr>
          <w:sz w:val="22"/>
          <w:szCs w:val="22"/>
        </w:rPr>
        <w:t xml:space="preserve">d_A = 9.05 — post-Fukushima nuclear shutdown fully absorbed in annual data</w:t>
      </w:r>
    </w:p>
    <w:p>
      <w:pPr>
        <w:spacing w:after="160" w:line="300"/>
      </w:pPr>
      <w:r>
        <w:rPr>
          <w:b/>
          <w:bCs/>
          <w:sz w:val="22"/>
          <w:szCs w:val="22"/>
        </w:rPr>
        <w:t xml:space="preserve">Germany 2023–2025: </w:t>
      </w:r>
      <w:r>
        <w:rPr>
          <w:sz w:val="22"/>
          <w:szCs w:val="22"/>
        </w:rPr>
        <w:t xml:space="preserve">d_A = 9.07, 5.73 — final nuclear shutdown (April 2023) and post-nuclear rebalancing</w:t>
      </w:r>
    </w:p>
    <w:p>
      <w:pPr>
        <w:spacing w:after="160" w:line="300"/>
      </w:pPr>
      <w:r>
        <w:rPr>
          <w:b/>
          <w:bCs/>
          <w:sz w:val="22"/>
          <w:szCs w:val="22"/>
        </w:rPr>
        <w:t xml:space="preserve">UK 2004–2005, 2017–2018, 2019–2020: </w:t>
      </w:r>
      <w:r>
        <w:rPr>
          <w:sz w:val="22"/>
          <w:szCs w:val="22"/>
        </w:rPr>
        <w:t xml:space="preserve">d_A = 2.98, 3.23, 3.26 — dash-for-gas, coal collapse, COVID + coal near-zero</w:t>
      </w:r>
    </w:p>
    <w:p>
      <w:pPr>
        <w:spacing w:after="160" w:line="300"/>
      </w:pPr>
      <w:r>
        <w:rPr>
          <w:sz w:val="22"/>
          <w:szCs w:val="22"/>
        </w:rPr>
        <w:t xml:space="preserve">The domain is different but the geometry is identical. Your microbiome compositions and my energy compositions live on the same simplex, measured by the same distance, monitored by the same protocol.</w:t>
      </w:r>
    </w:p>
    <w:p>
      <w:pPr>
        <w:pStyle w:val="Heading2"/>
      </w:pPr>
      <w:r>
        <w:t xml:space="preserve">Open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D7377" w:sz="12"/>
              <w:bottom w:val="single" w:color="DDDDDD" w:sz="1"/>
              <w:right w:val="single" w:color="DDDDDD" w:sz="1"/>
            </w:tcBorders>
            <w:shd w:fill="F4F7FA" w:val="clear"/>
            <w:tcMar>
              <w:top w:type="dxa" w:w="120"/>
              <w:left w:type="dxa" w:w="200"/>
              <w:bottom w:type="dxa" w:w="120"/>
              <w:right w:type="dxa" w:w="200"/>
            </w:tcMar>
          </w:tcPr>
          <w:p>
            <w:pPr>
              <w:spacing w:after="0" w:line="300"/>
            </w:pPr>
            <w:r>
              <w:rPr>
                <w:i/>
                <w:iCs/>
                <w:color w:val="0A1628"/>
                <w:sz w:val="22"/>
                <w:szCs w:val="22"/>
              </w:rPr>
              <w:t xml:space="preserve">The protocol computes both effective diversity N_eff = exp(H) and Aitchison norm for each composition. The relationship between these two measures — one information-theoretic, one geometric — is noted as an open question. Your microbiome data, with its high dimensionality and clinical structure, may be an ideal testbed for investigating this relationship.</w:t>
            </w:r>
          </w:p>
        </w:tc>
      </w:tr>
    </w:tbl>
    <w:p>
      <w:pPr>
        <w:spacing w:after="80"/>
      </w:pPr>
    </w:p>
    <w:p>
      <w:pPr>
        <w:pStyle w:val="Heading2"/>
      </w:pPr>
      <w:r>
        <w:t xml:space="preserve">Contact</w:t>
      </w:r>
    </w:p>
    <w:p>
      <w:pPr>
        <w:spacing w:after="160" w:line="300"/>
      </w:pPr>
      <w:r>
        <w:rPr>
          <w:sz w:val="22"/>
          <w:szCs w:val="22"/>
        </w:rPr>
        <w:t xml:space="preserve">Peter Higgins  |  Independent Researcher, Markham, Ontario, Canada</w:t>
      </w:r>
    </w:p>
    <w:p>
      <w:pPr>
        <w:spacing w:after="160" w:line="300"/>
      </w:pPr>
      <w:r>
        <w:rPr>
          <w:sz w:val="22"/>
          <w:szCs w:val="22"/>
        </w:rPr>
        <w:t xml:space="preserve">PeterHiggins@roguewaveaudio.com</w:t>
      </w:r>
    </w:p>
    <w:p>
      <w:pPr>
        <w:spacing w:after="160" w:line="300"/>
      </w:pPr>
      <w:r>
        <w:rPr>
          <w:sz w:val="22"/>
          <w:szCs w:val="22"/>
        </w:rPr>
        <w:t xml:space="preserve">All data, code, and documentation: github.com/PeterHiggins19/Higgins-Unity-Framework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A16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2026-04-13T19:29:31.510Z</dcterms:created>
  <dcterms:modified xsi:type="dcterms:W3CDTF">2026-04-13T19:29:31.510Z</dcterms:modified>
</cp:coreProperties>
</file>

<file path=docProps/custom.xml><?xml version="1.0" encoding="utf-8"?>
<Properties xmlns="http://schemas.openxmlformats.org/officeDocument/2006/custom-properties" xmlns:vt="http://schemas.openxmlformats.org/officeDocument/2006/docPropsVTypes"/>
</file>