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i/>
          <w:iCs/>
          <w:color w:val="888888"/>
          <w:sz w:val="20"/>
          <w:szCs w:val="20"/>
        </w:rPr>
        <w:t xml:space="preserve">Prepared for</w:t>
      </w:r>
    </w:p>
    <w:p>
      <w:pPr>
        <w:spacing w:after="40"/>
        <w:jc w:val="center"/>
      </w:pPr>
      <w:r>
        <w:rPr>
          <w:rFonts w:ascii="Arial" w:cs="Arial" w:eastAsia="Arial" w:hAnsi="Arial"/>
          <w:b/>
          <w:bCs/>
          <w:color w:val="0A1628"/>
          <w:sz w:val="32"/>
          <w:szCs w:val="32"/>
        </w:rPr>
        <w:t xml:space="preserve">Juan David Vega Baquero &amp; Miguel Santolino</w:t>
      </w:r>
    </w:p>
    <w:p>
      <w:pPr>
        <w:spacing w:after="300"/>
        <w:jc w:val="center"/>
      </w:pPr>
      <w:r>
        <w:rPr>
          <w:color w:val="666666"/>
          <w:sz w:val="20"/>
          <w:szCs w:val="20"/>
        </w:rPr>
        <w:t xml:space="preserve">University of Barcelona, Spain</w:t>
      </w:r>
    </w:p>
    <w:p>
      <w:pPr>
        <w:pStyle w:val="Heading1"/>
      </w:pPr>
      <w:r>
        <w:t xml:space="preserve">When Proportionality Drifts</w:t>
      </w:r>
    </w:p>
    <w:p>
      <w:pPr>
        <w:spacing w:after="160" w:line="300"/>
      </w:pPr>
      <w:r>
        <w:rPr>
          <w:sz w:val="22"/>
          <w:szCs w:val="22"/>
        </w:rPr>
        <w:t xml:space="preserve">Your work on proportionality between portfolio allocations is a natural application of CoDa to finance. The Proportionality Index of Parts (PIP), Pairwise Proportionality of Logratios (PPL), and Pairwise Proportionality Index (PPI) give you three lenses on whether the relative structure of a portfolio allocation behaves proportionally.</w:t>
      </w:r>
    </w:p>
    <w:p>
      <w:pPr>
        <w:spacing w:after="160" w:line="300"/>
      </w:pPr>
      <w:r>
        <w:rPr>
          <w:sz w:val="22"/>
          <w:szCs w:val="22"/>
        </w:rPr>
        <w:t xml:space="preserve">Your abstract notes a key finding: the connection between the volatility of stocks, the allocation method, and the proportionality of the allocations. This connection is inherently dynamic — volatility changes over time, allocations are rebalanced, and proportionality evolves. What follows extends your framework into the time dimension.</w:t>
      </w:r>
    </w:p>
    <w:p>
      <w:pPr>
        <w:pStyle w:val="Heading2"/>
      </w:pPr>
      <w:r>
        <w:t xml:space="preserve">The Temporal Question in Portfolio Allocation</w:t>
      </w:r>
    </w:p>
    <w:p>
      <w:pPr>
        <w:spacing w:after="160" w:line="300"/>
      </w:pPr>
      <w:r>
        <w:rPr>
          <w:sz w:val="22"/>
          <w:szCs w:val="22"/>
        </w:rPr>
        <w:t xml:space="preserve">A Minimum Variance portfolio computed from IBEX 35 stocks produces a composition: the weight vector w = (w₁, w₂, ..., w_D) where each w_i is the proportion allocated to stock i, and the weights sum to 1. This is a point on the simplex.</w:t>
      </w:r>
    </w:p>
    <w:p>
      <w:pPr>
        <w:spacing w:after="160" w:line="300"/>
      </w:pPr>
      <w:r>
        <w:rPr>
          <w:sz w:val="22"/>
          <w:szCs w:val="22"/>
        </w:rPr>
        <w:t xml:space="preserve">But the portfolio is not static. At each rebalancing period, the Minimum Variance optimisation produces a new weight vector based on updated covariance estimates. The sequence of weight vectors traces a path on the simplex: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9F9F9" w:val="clear"/>
            <w:tcMar>
              <w:top w:type="dxa" w:w="120"/>
              <w:left w:type="dxa" w:w="300"/>
              <w:bottom w:type="dxa" w:w="120"/>
              <w:right w:type="dxa" w:w="200"/>
            </w:tcMar>
          </w:tcPr>
          <w:p>
            <w:pPr>
              <w:spacing w:after="80" w:line="280"/>
            </w:pPr>
            <w:r>
              <w:rPr>
                <w:rFonts w:ascii="Courier New" w:cs="Courier New" w:eastAsia="Courier New" w:hAnsi="Courier New"/>
                <w:color w:val="0A1628"/>
                <w:sz w:val="20"/>
                <w:szCs w:val="20"/>
              </w:rPr>
              <w:t xml:space="preserve">w(t₁), w(t₂), w(t₃), ..., w(t_n)</w:t>
            </w:r>
          </w:p>
        </w:tc>
      </w:tr>
    </w:tbl>
    <w:p>
      <w:pPr>
        <w:spacing w:after="160" w:line="300"/>
      </w:pPr>
      <w:r>
        <w:rPr>
          <w:sz w:val="22"/>
          <w:szCs w:val="22"/>
        </w:rPr>
        <w:t xml:space="preserve">This is a compositional time series. Your proportionality indices, computed at each rebalancing date, become time series themselves. The question is: when does the proportionality structure change significantly?</w:t>
      </w:r>
    </w:p>
    <w:p>
      <w:pPr>
        <w:pStyle w:val="Heading2"/>
      </w:pPr>
      <w:r>
        <w:t xml:space="preserve">The Monitoring Protocol</w:t>
      </w:r>
    </w:p>
    <w:p>
      <w:pPr>
        <w:spacing w:after="160" w:line="300"/>
      </w:pPr>
      <w:r>
        <w:rPr>
          <w:sz w:val="22"/>
          <w:szCs w:val="22"/>
        </w:rPr>
        <w:t xml:space="preserve">My CoDaWork contribution presents a monitoring protocol built on standard Aitchison geometry that detects structural drift in compositional time series. Applied to portfolio weights:</w:t>
      </w:r>
    </w:p>
    <w:p>
      <w:pPr>
        <w:pStyle w:val="Heading3"/>
      </w:pPr>
      <w:r>
        <w:t xml:space="preserve">Perturbation difference between rebalancing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9F9F9" w:val="clear"/>
            <w:tcMar>
              <w:top w:type="dxa" w:w="120"/>
              <w:left w:type="dxa" w:w="300"/>
              <w:bottom w:type="dxa" w:w="120"/>
              <w:right w:type="dxa" w:w="200"/>
            </w:tcMar>
          </w:tcPr>
          <w:p>
            <w:pPr>
              <w:spacing w:after="80" w:line="280"/>
            </w:pPr>
            <w:r>
              <w:rPr>
                <w:rFonts w:ascii="Courier New" w:cs="Courier New" w:eastAsia="Courier New" w:hAnsi="Courier New"/>
                <w:color w:val="0A1628"/>
                <w:sz w:val="20"/>
                <w:szCs w:val="20"/>
              </w:rPr>
              <w:t xml:space="preserve">Δ(t) = C( w₁(t+1)/w₁(t), ..., w_D(t+1)/w_D(t) )</w:t>
            </w:r>
          </w:p>
        </w:tc>
      </w:tr>
    </w:tbl>
    <w:p>
      <w:pPr>
        <w:spacing w:after="160" w:line="300"/>
      </w:pPr>
      <w:r>
        <w:rPr>
          <w:sz w:val="22"/>
          <w:szCs w:val="22"/>
        </w:rPr>
        <w:t xml:space="preserve">This is the compositional change in allocation between consecutive rebalancing dates. It captures not just whether individual weights changed, but how the relative structure shifted.</w:t>
      </w:r>
    </w:p>
    <w:p>
      <w:pPr>
        <w:pStyle w:val="Heading3"/>
      </w:pPr>
      <w:r>
        <w:t xml:space="preserve">Aitchison distance as rebalancing magnitude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9F9F9" w:val="clear"/>
            <w:tcMar>
              <w:top w:type="dxa" w:w="120"/>
              <w:left w:type="dxa" w:w="300"/>
              <w:bottom w:type="dxa" w:w="120"/>
              <w:right w:type="dxa" w:w="200"/>
            </w:tcMar>
          </w:tcPr>
          <w:p>
            <w:pPr>
              <w:spacing w:after="80" w:line="280"/>
            </w:pPr>
            <w:r>
              <w:rPr>
                <w:rFonts w:ascii="Courier New" w:cs="Courier New" w:eastAsia="Courier New" w:hAnsi="Courier New"/>
                <w:color w:val="0A1628"/>
                <w:sz w:val="20"/>
                <w:szCs w:val="20"/>
              </w:rPr>
              <w:t xml:space="preserve">d_A(t) = || clr(Δ(t)) ||</w:t>
            </w:r>
          </w:p>
        </w:tc>
      </w:tr>
    </w:tbl>
    <w:p>
      <w:pPr>
        <w:spacing w:after="160" w:line="300"/>
      </w:pPr>
      <w:r>
        <w:rPr>
          <w:sz w:val="22"/>
          <w:szCs w:val="22"/>
        </w:rPr>
        <w:t xml:space="preserve">A scalar measure of how much the allocation changed. Small d_A means the portfolio structure is stable; large d_A means a significant rebalancing occurred.</w:t>
      </w:r>
    </w:p>
    <w:p>
      <w:pPr>
        <w:pStyle w:val="Heading3"/>
      </w:pPr>
      <w:r>
        <w:t xml:space="preserve">Drift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9F9F9" w:val="clear"/>
            <w:tcMar>
              <w:top w:type="dxa" w:w="120"/>
              <w:left w:type="dxa" w:w="300"/>
              <w:bottom w:type="dxa" w:w="120"/>
              <w:right w:type="dxa" w:w="200"/>
            </w:tcMar>
          </w:tcPr>
          <w:p>
            <w:pPr>
              <w:spacing w:after="80" w:line="280"/>
            </w:pPr>
            <w:r>
              <w:rPr>
                <w:rFonts w:ascii="Courier New" w:cs="Courier New" w:eastAsia="Courier New" w:hAnsi="Courier New"/>
                <w:color w:val="0A1628"/>
                <w:sz w:val="20"/>
                <w:szCs w:val="20"/>
              </w:rPr>
              <w:t xml:space="preserve">Flag when d_A(t) &gt; μ + 2σ</w:t>
            </w:r>
          </w:p>
        </w:tc>
      </w:tr>
    </w:tbl>
    <w:p>
      <w:pPr>
        <w:spacing w:after="160" w:line="300"/>
      </w:pPr>
      <w:r>
        <w:rPr>
          <w:sz w:val="22"/>
          <w:szCs w:val="22"/>
        </w:rPr>
        <w:t xml:space="preserve">Self-calibrated against the portfolio's own historical rebalancing variability. A flag means this rebalancing is unusually large relative to the portfolio's normal behaviour.</w:t>
      </w:r>
    </w:p>
    <w:p>
      <w:pPr>
        <w:pStyle w:val="Heading2"/>
      </w:pPr>
      <w:r>
        <w:t xml:space="preserve">What This Means for Your Proportionality Indices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0D7377" w:sz="12"/>
              <w:bottom w:val="single" w:color="DDDDDD" w:sz="1"/>
              <w:right w:val="single" w:color="DDDDDD" w:sz="1"/>
            </w:tcBorders>
            <w:shd w:fill="F4F7FA" w:val="clear"/>
            <w:tcMar>
              <w:top w:type="dxa" w:w="120"/>
              <w:left w:type="dxa" w:w="200"/>
              <w:bottom w:type="dxa" w:w="120"/>
              <w:right w:type="dxa" w:w="200"/>
            </w:tcMar>
          </w:tcPr>
          <w:p>
            <w:pPr>
              <w:spacing w:after="0" w:line="300"/>
            </w:pPr>
            <w:r>
              <w:rPr>
                <w:i/>
                <w:iCs/>
                <w:color w:val="0A1628"/>
                <w:sz w:val="22"/>
                <w:szCs w:val="22"/>
              </w:rPr>
              <w:t xml:space="preserve">If you tracked PIP, PPL, and PPI across rebalancing dates alongside the Aitchison distance, you could answer a new question: does a large structural rebalancing (high d_A) systematically change the proportionality between allocations? Or can the portfolio undergo significant compositional change while maintaining proportionality?</w:t>
            </w:r>
          </w:p>
        </w:tc>
      </w:tr>
    </w:tbl>
    <w:p>
      <w:pPr>
        <w:spacing w:after="80"/>
      </w:pPr>
    </w:p>
    <w:p>
      <w:pPr>
        <w:spacing w:after="160" w:line="300"/>
      </w:pPr>
      <w:r>
        <w:rPr>
          <w:sz w:val="22"/>
          <w:szCs w:val="22"/>
        </w:rPr>
        <w:t xml:space="preserve">This connects directly to your finding about volatility. During high-volatility periods, the Minimum Variance optimiser will produce larger rebalancing moves. The monitoring protocol would flag these as drift events, and you could examine whether proportionality deteriorates, improves, or remains stable through market stress.</w:t>
      </w:r>
    </w:p>
    <w:p>
      <w:pPr>
        <w:pStyle w:val="Heading2"/>
      </w:pPr>
      <w:r>
        <w:t xml:space="preserve">Empirical Demonstration: Energy Mix</w:t>
      </w:r>
    </w:p>
    <w:p>
      <w:pPr>
        <w:spacing w:after="160" w:line="300"/>
      </w:pPr>
      <w:r>
        <w:rPr>
          <w:sz w:val="22"/>
          <w:szCs w:val="22"/>
        </w:rPr>
        <w:t xml:space="preserve">My talk demonstrates the protocol on energy-mix compositions (9 carriers, 3 countries, 2000–2025). The domain is different but the geometry is identical:</w:t>
      </w:r>
    </w:p>
    <w:p>
      <w:pPr>
        <w:spacing w:after="160" w:line="300"/>
      </w:pPr>
      <w:r>
        <w:rPr>
          <w:b/>
          <w:bCs/>
          <w:sz w:val="22"/>
          <w:szCs w:val="22"/>
        </w:rPr>
        <w:t xml:space="preserve">Energy weights on the simplex: </w:t>
      </w:r>
      <w:r>
        <w:rPr>
          <w:sz w:val="22"/>
          <w:szCs w:val="22"/>
        </w:rPr>
        <w:t xml:space="preserve">(coal, gas, nuclear, hydro, solar, wind, bio, other fossil, other renewables)</w:t>
      </w:r>
    </w:p>
    <w:p>
      <w:pPr>
        <w:spacing w:after="160" w:line="300"/>
      </w:pPr>
      <w:r>
        <w:rPr>
          <w:b/>
          <w:bCs/>
          <w:sz w:val="22"/>
          <w:szCs w:val="22"/>
        </w:rPr>
        <w:t xml:space="preserve">Portfolio weights on the simplex: </w:t>
      </w:r>
      <w:r>
        <w:rPr>
          <w:sz w:val="22"/>
          <w:szCs w:val="22"/>
        </w:rPr>
        <w:t xml:space="preserve">(stock₁, stock₂, ..., stock_D)</w:t>
      </w:r>
    </w:p>
    <w:p>
      <w:pPr>
        <w:spacing w:after="160" w:line="300"/>
      </w:pPr>
      <w:r>
        <w:rPr>
          <w:sz w:val="22"/>
          <w:szCs w:val="22"/>
        </w:rPr>
        <w:t xml:space="preserve">Both are compositions. Both evolve over time. Both can be monitored for structural drift using the same perturbation-based protocol. The protocol flags 7 energy-policy events across 3 countries, each corresponding to a real structural change.</w:t>
      </w:r>
    </w:p>
    <w:p>
      <w:pPr>
        <w:pStyle w:val="Heading2"/>
      </w:pPr>
      <w:r>
        <w:t xml:space="preserve">The Deeper Question</w:t>
      </w:r>
    </w:p>
    <w:p>
      <w:pPr>
        <w:spacing w:after="160" w:line="300"/>
      </w:pPr>
      <w:r>
        <w:rPr>
          <w:sz w:val="22"/>
          <w:szCs w:val="22"/>
        </w:rPr>
        <w:t xml:space="preserve">When you aggregate compositions across time scales — daily returns to monthly, monthly to quarterly — the choice of aggregation method matters. Arithmetic averaging of portfolio weights destroys compositional structure. Geometric averaging preserves it. This connects to a broader question about what properties must be invariant under valid temporal aggregation of compositions.</w:t>
      </w:r>
    </w:p>
    <w:p>
      <w:pPr>
        <w:spacing w:after="160" w:line="300"/>
      </w:pPr>
      <w:r>
        <w:rPr>
          <w:sz w:val="22"/>
          <w:szCs w:val="22"/>
        </w:rPr>
        <w:t xml:space="preserve">If this is of interest, I would be happy to discuss it further at the workshop.</w:t>
      </w:r>
    </w:p>
    <w:p>
      <w:pPr>
        <w:pStyle w:val="Heading2"/>
      </w:pPr>
      <w:r>
        <w:t xml:space="preserve">Contact</w:t>
      </w:r>
    </w:p>
    <w:p>
      <w:pPr>
        <w:spacing w:after="160" w:line="300"/>
      </w:pPr>
      <w:r>
        <w:rPr>
          <w:sz w:val="22"/>
          <w:szCs w:val="22"/>
        </w:rPr>
        <w:t xml:space="preserve">Peter Higgins  |  Independent Researcher, Markham, Ontario, Canada</w:t>
      </w:r>
    </w:p>
    <w:p>
      <w:pPr>
        <w:spacing w:after="160" w:line="300"/>
      </w:pPr>
      <w:r>
        <w:rPr>
          <w:sz w:val="22"/>
          <w:szCs w:val="22"/>
        </w:rPr>
        <w:t xml:space="preserve">PeterHiggins@roguewaveaudio.com</w:t>
      </w:r>
    </w:p>
    <w:p>
      <w:pPr>
        <w:spacing w:after="160" w:line="300"/>
      </w:pPr>
      <w:r>
        <w:rPr>
          <w:sz w:val="22"/>
          <w:szCs w:val="22"/>
        </w:rPr>
        <w:t xml:space="preserve">All data, code, and documentation: github.com/PeterHiggins19/Higgins-Unity-Framework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1628"/>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0D7377"/>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0A16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2026-04-13T19:29:31.517Z</dcterms:created>
  <dcterms:modified xsi:type="dcterms:W3CDTF">2026-04-13T19:29:31.517Z</dcterms:modified>
</cp:coreProperties>
</file>

<file path=docProps/custom.xml><?xml version="1.0" encoding="utf-8"?>
<Properties xmlns="http://schemas.openxmlformats.org/officeDocument/2006/custom-properties" xmlns:vt="http://schemas.openxmlformats.org/officeDocument/2006/docPropsVTypes"/>
</file>