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jc w:val="center"/>
      </w:pPr>
      <w:r>
        <w:rPr>
          <w:rFonts w:ascii="Georgia" w:cs="Georgia" w:eastAsia="Georgia" w:hAnsi="Georgia"/>
          <w:b/>
          <w:bCs/>
          <w:color w:val="1A1A2E"/>
          <w:sz w:val="52"/>
          <w:szCs w:val="52"/>
        </w:rPr>
        <w:t xml:space="preserve">THE MISSING QUARTER</w:t>
      </w:r>
    </w:p>
    <w:p>
      <w:pPr>
        <w:spacing w:after="100"/>
        <w:jc w:val="center"/>
      </w:pPr>
      <w:r>
        <w:rPr>
          <w:rFonts w:ascii="Georgia" w:cs="Georgia" w:eastAsia="Georgia" w:hAnsi="Georgia"/>
          <w:color w:val="444444"/>
          <w:sz w:val="28"/>
          <w:szCs w:val="28"/>
        </w:rPr>
        <w:t xml:space="preserve">Ratio-State Monitoring and the Recovery of</w:t>
      </w:r>
    </w:p>
    <w:p>
      <w:pPr>
        <w:spacing w:after="400"/>
        <w:jc w:val="center"/>
      </w:pPr>
      <w:r>
        <w:rPr>
          <w:rFonts w:ascii="Georgia" w:cs="Georgia" w:eastAsia="Georgia" w:hAnsi="Georgia"/>
          <w:color w:val="444444"/>
          <w:sz w:val="28"/>
          <w:szCs w:val="28"/>
        </w:rPr>
        <w:t xml:space="preserve">Structural Observability in Complex Systems</w:t>
      </w:r>
    </w:p>
    <w:p>
      <w:pPr>
        <w:spacing w:after="100"/>
        <w:jc w:val="center"/>
      </w:pPr>
      <w:r>
        <w:rPr>
          <w:rFonts w:ascii="Georgia" w:cs="Georgia" w:eastAsia="Georgia" w:hAnsi="Georgia"/>
          <w:i/>
          <w:iCs/>
          <w:color w:val="666666"/>
          <w:sz w:val="24"/>
          <w:szCs w:val="24"/>
        </w:rPr>
        <w:t xml:space="preserve">A Letter to Dr. Jordan B. Peterson</w:t>
      </w:r>
    </w:p>
    <w:p>
      <w:pPr>
        <w:spacing w:after="600"/>
        <w:jc w:val="center"/>
      </w:pPr>
      <w:r>
        <w:rPr>
          <w:rFonts w:ascii="Georgia" w:cs="Georgia" w:eastAsia="Georgia" w:hAnsi="Georgia"/>
          <w:color w:val="666666"/>
          <w:sz w:val="22"/>
          <w:szCs w:val="22"/>
        </w:rPr>
        <w:t xml:space="preserve">From Peter Higgins, Rogue Wave Audio, Markham, Ontario</w:t>
      </w:r>
    </w:p>
    <w:p>
      <w:pPr>
        <w:spacing w:after="200"/>
        <w:jc w:val="center"/>
      </w:pPr>
      <w:r>
        <w:rPr>
          <w:rFonts w:ascii="Georgia" w:cs="Georgia" w:eastAsia="Georgia" w:hAnsi="Georgia"/>
          <w:color w:val="888888"/>
          <w:sz w:val="22"/>
          <w:szCs w:val="22"/>
        </w:rPr>
        <w:t xml:space="preserve">March 2026</w:t>
      </w:r>
    </w:p>
    <w:p>
      <w:pPr>
        <w:spacing w:after="200"/>
        <w:jc w:val="center"/>
      </w:pPr>
      <w:r>
        <w:rPr>
          <w:rFonts w:ascii="Georgia" w:cs="Georgia" w:eastAsia="Georgia" w:hAnsi="Georgia"/>
          <w:color w:val="888888"/>
          <w:sz w:val="20"/>
          <w:szCs w:val="20"/>
        </w:rPr>
        <w:t xml:space="preserve">v5.3 — Comprehensive Edition — Full Credentials, Academic Foundation, Governance Warning</w:t>
      </w:r>
    </w:p>
    <w:p>
      <w:pPr>
        <w:spacing w:after="100"/>
        <w:jc w:val="center"/>
      </w:pPr>
      <w:r>
        <w:rPr>
          <w:rFonts w:ascii="Georgia" w:cs="Georgia" w:eastAsia="Georgia" w:hAnsi="Georgia"/>
          <w:color w:val="888888"/>
          <w:sz w:val="20"/>
          <w:szCs w:val="20"/>
        </w:rPr>
        <w:t xml:space="preserve">Supported by a 98-document research corpus</w:t>
      </w:r>
    </w:p>
    <w:p>
      <w:pPr>
        <w:jc w:val="center"/>
      </w:pPr>
      <w:r>
        <w:rPr>
          <w:rFonts w:ascii="Georgia" w:cs="Georgia" w:eastAsia="Georgia" w:hAnsi="Georgia"/>
          <w:color w:val="888888"/>
          <w:sz w:val="20"/>
          <w:szCs w:val="20"/>
        </w:rPr>
        <w:t xml:space="preserve">developed with five AI systems under human direction</w:t>
      </w:r>
    </w:p>
    <w:p>
      <w:r>
        <w:br w:type="page"/>
      </w:r>
    </w:p>
    <w:p>
      <w:pPr>
        <w:pStyle w:val="Heading1"/>
        <w:spacing w:before="360" w:after="200"/>
        <w:jc w:val="left"/>
      </w:pPr>
      <w:r>
        <w:rPr>
          <w:rFonts w:ascii="Georgia" w:cs="Georgia" w:eastAsia="Georgia" w:hAnsi="Georgia"/>
          <w:b/>
          <w:bCs/>
          <w:color w:val="1A1A2E"/>
          <w:sz w:val="32"/>
          <w:szCs w:val="32"/>
        </w:rPr>
        <w:t xml:space="preserve">I. Why I Am Writing to You</w:t>
      </w:r>
    </w:p>
    <w:p>
      <w:pPr>
        <w:spacing w:after="200" w:before="0" w:line="312"/>
        <w:jc w:val="left"/>
      </w:pPr>
      <w:r>
        <w:rPr>
          <w:rFonts w:ascii="Georgia" w:cs="Georgia" w:eastAsia="Georgia" w:hAnsi="Georgia"/>
          <w:sz w:val="24"/>
          <w:szCs w:val="24"/>
        </w:rPr>
        <w:t xml:space="preserve">Dr. Peterson,</w:t>
      </w:r>
    </w:p>
    <w:p>
      <w:pPr>
        <w:spacing w:after="200" w:before="0" w:line="312"/>
        <w:ind w:firstLine="360"/>
        <w:jc w:val="left"/>
      </w:pPr>
      <w:r>
        <w:rPr>
          <w:rFonts w:ascii="Georgia" w:cs="Georgia" w:eastAsia="Georgia" w:hAnsi="Georgia"/>
          <w:sz w:val="24"/>
          <w:szCs w:val="24"/>
        </w:rPr>
        <w:t xml:space="preserve">For the past thirty-four years I have worked at the interface between human operators and lethal industrial machinery. Dage X-ray inspection systems. Fuji automated placement machines with six fifteen-horsepower motors and the kinetic energy to bend structural steel. Electrovert wave solder lines. Automated optical inspection. PLCs, conveyors, and first-generation AI systems across the Canadian electronics assembly industry. My role has been the one that sits between the people who design machines and the people who operate them — the customer-systems developer and machine-systems developer interface. In practice, this means I am one of the breakers: the human safety layer that ensures understanding exists between a system capable of killing its operator and the operator who must trust it enough to work beside it.</w:t>
      </w:r>
    </w:p>
    <w:p>
      <w:pPr>
        <w:spacing w:after="200" w:before="0" w:line="312"/>
        <w:ind w:firstLine="360"/>
        <w:jc w:val="left"/>
      </w:pPr>
      <w:r>
        <w:rPr>
          <w:rFonts w:ascii="Georgia" w:cs="Georgia" w:eastAsia="Georgia" w:hAnsi="Georgia"/>
          <w:sz w:val="24"/>
          <w:szCs w:val="24"/>
        </w:rPr>
        <w:t xml:space="preserve">In Montreal, at a major telecommunications manufacturing facility, I watched a colleague enter a live automated placement machine he believed was secured. It was not. His body bent a steel beam on impact. A shear bolt — one bolt among thousands, engineered as a sacrificial failure point by a designer in Japan who anticipated the worst case — broke at exactly the right location and tripped a safety sensor. He survived. The workforce nicknamed the machine the killer and would not approach it. I was called not to repair the machine but to restore trust. The machine was not malicious. It was powerful, predictable, and governed. The shear bolt worked as designed. Fear arose because power was present but understanding was absent. That incident — and thirty-four years of incidents like it — taught me that the hardest engineering problem is never mechanical. It is the restoration of trust between humans and the systems they depend on.</w:t>
      </w:r>
    </w:p>
    <w:p>
      <w:pPr>
        <w:spacing w:after="200" w:before="0" w:line="312"/>
        <w:ind w:firstLine="360"/>
        <w:jc w:val="left"/>
      </w:pPr>
      <w:r>
        <w:rPr>
          <w:rFonts w:ascii="Georgia" w:cs="Georgia" w:eastAsia="Georgia" w:hAnsi="Georgia"/>
          <w:sz w:val="24"/>
          <w:szCs w:val="24"/>
        </w:rPr>
        <w:t xml:space="preserve">In parallel with this industrial work, I have spent twenty-five years building loudspeaker crossover networks through my company, Rogue Wave Audio — the circuits that divide an audio signal into frequency bands and route each band to the correct driver. It is precise, mathematical work. The physics is well understood. The tolerances are tight. And in this narrow, well-behaved domain, I stumbled onto something that should not have been there.</w:t>
      </w:r>
    </w:p>
    <w:p>
      <w:pPr>
        <w:spacing w:after="200" w:before="0" w:line="312"/>
        <w:ind w:firstLine="360"/>
        <w:jc w:val="left"/>
      </w:pPr>
      <w:r>
        <w:rPr>
          <w:rFonts w:ascii="Georgia" w:cs="Georgia" w:eastAsia="Georgia" w:hAnsi="Georgia"/>
          <w:sz w:val="24"/>
          <w:szCs w:val="24"/>
        </w:rPr>
        <w:t xml:space="preserve">When I normalized the power distribution across my crossover bands — compressed the output of each driver to a ratio of the total, so that all ratios summed to one — the resulting carrier structure exhibited forward-looking behaviour. Internal concentration changes appeared before the total system output moved. The structural shape was rotating in a space I had not been monitoring, and that rotation carried information about what the system was about to do.</w:t>
      </w:r>
    </w:p>
    <w:p>
      <w:pPr>
        <w:spacing w:after="200" w:before="0" w:line="312"/>
        <w:ind w:firstLine="360"/>
        <w:jc w:val="left"/>
      </w:pPr>
      <w:r>
        <w:rPr>
          <w:rFonts w:ascii="Georgia" w:cs="Georgia" w:eastAsia="Georgia" w:hAnsi="Georgia"/>
          <w:sz w:val="24"/>
          <w:szCs w:val="24"/>
        </w:rPr>
        <w:t xml:space="preserve">I have spent the last five months, working with five different artificial intelligence systems under my direction, extending this observation from loudspeakers to electricity generation, GDP composition, ecosystem monitoring, drive failure rates, gold-silver ratios, and population demographics. In every domain we have tested, the same phenomenon appears: when you compress any system of parts to a unity-bounded ratio state, the internal structural dynamics become visible, and those dynamics carry lead-time information that magnitude-based monitoring cannot access.</w:t>
      </w:r>
    </w:p>
    <w:p>
      <w:pPr>
        <w:spacing w:after="200" w:before="0" w:line="312"/>
        <w:ind w:firstLine="360"/>
        <w:jc w:val="left"/>
      </w:pPr>
      <w:r>
        <w:rPr>
          <w:rFonts w:ascii="Georgia" w:cs="Georgia" w:eastAsia="Georgia" w:hAnsi="Georgia"/>
          <w:sz w:val="24"/>
          <w:szCs w:val="24"/>
        </w:rPr>
        <w:t xml:space="preserve">I am not a physicist. I am not a mathematician. I am not a psychologist. I am an engineer who has spent thirty-four years standing inside machines that can kill, learning that the difference between a safe system and a lethal one is never the machine — it is the governance layer between the machine and its operator. I found a structural pattern in a crossover network and followed it until it stopped being about loudspeakers and started being about everything. I am writing to you because your work on meaning, perception, and the hierarchical structure of value systems maps to this framework with a precision that neither I nor the five AI systems I work with expected. Fourteen independent mappings between your published theory and this framework have been documented. That convergence is either coincidence or evidence. I believe it is evidence, and I believe you are the right person to evaluate it.</w:t>
      </w:r>
    </w:p>
    <w:p>
      <w:r>
        <w:br w:type="page"/>
      </w:r>
    </w:p>
    <w:p>
      <w:pPr>
        <w:pStyle w:val="Heading1"/>
        <w:spacing w:before="360" w:after="200"/>
        <w:jc w:val="left"/>
      </w:pPr>
      <w:r>
        <w:rPr>
          <w:rFonts w:ascii="Georgia" w:cs="Georgia" w:eastAsia="Georgia" w:hAnsi="Georgia"/>
          <w:b/>
          <w:bCs/>
          <w:color w:val="1A1A2E"/>
          <w:sz w:val="32"/>
          <w:szCs w:val="32"/>
        </w:rPr>
        <w:t xml:space="preserve">II. The Four Categories of Information</w:t>
      </w:r>
    </w:p>
    <w:p>
      <w:pPr>
        <w:spacing w:after="200" w:before="0" w:line="312"/>
        <w:ind w:firstLine="360"/>
        <w:jc w:val="left"/>
      </w:pPr>
      <w:r>
        <w:rPr>
          <w:rFonts w:ascii="Georgia" w:cs="Georgia" w:eastAsia="Georgia" w:hAnsi="Georgia"/>
          <w:sz w:val="24"/>
          <w:szCs w:val="24"/>
        </w:rPr>
        <w:t xml:space="preserve">Most institutions — governments, corporations, conservation bodies, research organizations — monitor the systems they are responsible for using three categories of information. These three categories are so ubiquitous that they are rarely named, much less questioned. They represent three-quarters of the observable information about any complex system. The fourth quarter has been diagnostically invisible — not because it is hidden, but because the instrument to read it did not exist in standard practice.</w:t>
      </w:r>
    </w:p>
    <w:p>
      <w:pPr>
        <w:spacing w:after="200" w:before="0" w:line="312"/>
        <w:jc w:val="left"/>
      </w:pPr>
      <w:r>
        <w:rPr>
          <w:rFonts w:ascii="Georgia" w:cs="Georgia" w:eastAsia="Georgia" w:hAnsi="Georgia"/>
          <w:b/>
          <w:bCs/>
          <w:sz w:val="24"/>
          <w:szCs w:val="24"/>
        </w:rPr>
        <w:t xml:space="preserve">Category 1: Magnitude. </w:t>
      </w:r>
      <w:r>
        <w:rPr>
          <w:rFonts w:ascii="Georgia" w:cs="Georgia" w:eastAsia="Georgia" w:hAnsi="Georgia"/>
          <w:sz w:val="24"/>
          <w:szCs w:val="24"/>
        </w:rPr>
        <w:t xml:space="preserve">The volume knob. How many hectares? How many dollars? How many units sold? How much energy generated? This is the most common metric in every monitoring regime on Earth. It tells you how much of something exists. It does not tell you how the internal parts are arranged.</w:t>
      </w:r>
    </w:p>
    <w:p>
      <w:pPr>
        <w:spacing w:after="200" w:before="0" w:line="312"/>
        <w:jc w:val="left"/>
      </w:pPr>
      <w:r>
        <w:rPr>
          <w:rFonts w:ascii="Georgia" w:cs="Georgia" w:eastAsia="Georgia" w:hAnsi="Georgia"/>
          <w:b/>
          <w:bCs/>
          <w:sz w:val="24"/>
          <w:szCs w:val="24"/>
        </w:rPr>
        <w:t xml:space="preserve">Category 2: Identity. </w:t>
      </w:r>
      <w:r>
        <w:rPr>
          <w:rFonts w:ascii="Georgia" w:cs="Georgia" w:eastAsia="Georgia" w:hAnsi="Georgia"/>
          <w:sz w:val="24"/>
          <w:szCs w:val="24"/>
        </w:rPr>
        <w:t xml:space="preserve">The labels. Which country? Which sector? Which species? Which manufacturer? Identity is essential for attribution but reveals nothing about internal dynamics. It tells you who the players are. It does not tell you how the game is changing.</w:t>
      </w:r>
    </w:p>
    <w:p>
      <w:pPr>
        <w:spacing w:after="200" w:before="0" w:line="312"/>
        <w:jc w:val="left"/>
      </w:pPr>
      <w:r>
        <w:rPr>
          <w:rFonts w:ascii="Georgia" w:cs="Georgia" w:eastAsia="Georgia" w:hAnsi="Georgia"/>
          <w:b/>
          <w:bCs/>
          <w:sz w:val="24"/>
          <w:szCs w:val="24"/>
        </w:rPr>
        <w:t xml:space="preserve">Category 3: Trend. </w:t>
      </w:r>
      <w:r>
        <w:rPr>
          <w:rFonts w:ascii="Georgia" w:cs="Georgia" w:eastAsia="Georgia" w:hAnsi="Georgia"/>
          <w:sz w:val="24"/>
          <w:szCs w:val="24"/>
        </w:rPr>
        <w:t xml:space="preserve">The direction. Is the total going up or down? Year-over-year comparison, moving averages, linear extrapolation. This is the dominant analytical lens in policy, finance, and science. It tells you where the shadow on the wall is moving. It does not tell you that the object casting the shadow has already begun to rotate.</w:t>
      </w:r>
    </w:p>
    <w:p>
      <w:pPr>
        <w:spacing w:after="200" w:before="0" w:line="312"/>
        <w:jc w:val="left"/>
      </w:pPr>
      <w:r>
        <w:rPr>
          <w:rFonts w:ascii="Georgia" w:cs="Georgia" w:eastAsia="Georgia" w:hAnsi="Georgia"/>
          <w:b/>
          <w:bCs/>
          <w:sz w:val="24"/>
          <w:szCs w:val="24"/>
        </w:rPr>
        <w:t xml:space="preserve">Category 4: Composition. </w:t>
      </w:r>
      <w:r>
        <w:rPr>
          <w:rFonts w:ascii="Georgia" w:cs="Georgia" w:eastAsia="Georgia" w:hAnsi="Georgia"/>
          <w:sz w:val="24"/>
          <w:szCs w:val="24"/>
        </w:rPr>
        <w:t xml:space="preserve">The internal balance. Regardless of total volume, how are the parts interacting with each other? What fraction of the whole does each element hold? When you compress any system of N elements so that all proportions sum to one, every movement becomes a zero-sum exchange: if one element gains share, another must lose. This is not imposed from outside; it is a mathematical consequence of asking the simplest possible structural question. And it reveals a dimension of system behaviour that the first three categories cannot access.</w:t>
      </w:r>
    </w:p>
    <w:p>
      <w:pPr>
        <w:spacing w:after="200" w:before="0" w:line="312"/>
        <w:ind w:firstLine="360"/>
        <w:jc w:val="left"/>
      </w:pPr>
      <w:r>
        <w:rPr>
          <w:rFonts w:ascii="Georgia" w:cs="Georgia" w:eastAsia="Georgia" w:hAnsi="Georgia"/>
          <w:sz w:val="24"/>
          <w:szCs w:val="24"/>
        </w:rPr>
        <w:t xml:space="preserve">The analogy I use most often is this: if a band is playing too loud, Categories 1 through 3 tell you to turn down the master volume. Category 4 tells you the drummer is actually playing twice as fast as the rest of the band, and the speakers are about to blow. The total output has not changed. The structural composition has.</w:t>
      </w:r>
    </w:p>
    <w:p>
      <w:pPr>
        <w:spacing w:after="200" w:before="0" w:line="312"/>
        <w:ind w:firstLine="360"/>
        <w:jc w:val="left"/>
      </w:pPr>
      <w:r>
        <w:rPr>
          <w:rFonts w:ascii="Georgia" w:cs="Georgia" w:eastAsia="Georgia" w:hAnsi="Georgia"/>
          <w:sz w:val="24"/>
          <w:szCs w:val="24"/>
        </w:rPr>
        <w:t xml:space="preserve">One quarter of the observable universe has been diagnostically invisible. Not in some exotic physical sense — in the most practical sense imaginable. The data has always been there. The ratios have always existed inside every dataset ever collected. No one was computing them as a primary observable. We were watching the shadow on the wall and never once asking whether the object casting it had begun to rotate.</w:t>
      </w:r>
    </w:p>
    <w:p>
      <w:r>
        <w:br w:type="page"/>
      </w:r>
    </w:p>
    <w:p>
      <w:pPr>
        <w:pStyle w:val="Heading1"/>
        <w:spacing w:before="360" w:after="200"/>
        <w:jc w:val="left"/>
      </w:pPr>
      <w:r>
        <w:rPr>
          <w:rFonts w:ascii="Georgia" w:cs="Georgia" w:eastAsia="Georgia" w:hAnsi="Georgia"/>
          <w:b/>
          <w:bCs/>
          <w:color w:val="1A1A2E"/>
          <w:sz w:val="32"/>
          <w:szCs w:val="32"/>
        </w:rPr>
        <w:t xml:space="preserve">III. The Shape Changes Before the Size</w:t>
      </w:r>
    </w:p>
    <w:p>
      <w:pPr>
        <w:spacing w:after="200" w:before="0" w:line="312"/>
        <w:ind w:firstLine="360"/>
        <w:jc w:val="left"/>
      </w:pPr>
      <w:r>
        <w:rPr>
          <w:rFonts w:ascii="Georgia" w:cs="Georgia" w:eastAsia="Georgia" w:hAnsi="Georgia"/>
          <w:sz w:val="24"/>
          <w:szCs w:val="24"/>
        </w:rPr>
        <w:t xml:space="preserve">The reason the fourth category matters — the reason it is not merely an academic curiosity — is that structural composition changes before magnitude changes. We call this phenomenon deceptive drift: the internal concentration of a system hollows out behind a calm surface. By the time the total output visibly declines, the structural rotation has been underway for years.</w:t>
      </w:r>
    </w:p>
    <w:p>
      <w:pPr>
        <w:spacing w:after="200" w:before="0" w:line="312"/>
        <w:ind w:firstLine="360"/>
        <w:jc w:val="left"/>
      </w:pPr>
      <w:r>
        <w:rPr>
          <w:rFonts w:ascii="Georgia" w:cs="Georgia" w:eastAsia="Georgia" w:hAnsi="Georgia"/>
          <w:sz w:val="24"/>
          <w:szCs w:val="24"/>
        </w:rPr>
        <w:t xml:space="preserve">Imagine a three-dimensional object casting a two-dimensional shadow on a wall. If the object moves toward the wall, the shadow grows — that is magnitude change, and standard monitoring catches it. But if the object rotates in place, the total area of the shadow may not change at all, while its shape shifts dramatically. The rotation is happening in a dimension the shadow cannot represent. By the time the object moves and the shadow shrinks, the rotation has been telling the story for a long time.</w:t>
      </w:r>
    </w:p>
    <w:p>
      <w:pPr>
        <w:spacing w:after="200" w:before="0" w:line="312"/>
        <w:ind w:firstLine="360"/>
        <w:jc w:val="left"/>
      </w:pPr>
      <w:r>
        <w:rPr>
          <w:rFonts w:ascii="Georgia" w:cs="Georgia" w:eastAsia="Georgia" w:hAnsi="Georgia"/>
          <w:sz w:val="24"/>
          <w:szCs w:val="24"/>
        </w:rPr>
        <w:t xml:space="preserve">This is not a metaphor. It is a mathematically precise description of what ratio-state monitoring observes. When carriers are compressed to sum-to-one, the system lives on a simplex — a flat slice through N-dimensional space. Movement on that simplex is structural rotation. The simplex constraint strips away the distraction of scale and reveals the pure internal dynamics. This is not higher mathematics imported for prestige; it is the inevitable consequence of asking what fraction of the whole does each part hold.</w:t>
      </w:r>
    </w:p>
    <w:p>
      <w:pPr>
        <w:spacing w:after="200" w:before="0" w:line="312"/>
        <w:ind w:firstLine="360"/>
        <w:jc w:val="left"/>
      </w:pPr>
      <w:r>
        <w:rPr>
          <w:rFonts w:ascii="Georgia" w:cs="Georgia" w:eastAsia="Georgia" w:hAnsi="Georgia"/>
          <w:sz w:val="24"/>
          <w:szCs w:val="24"/>
        </w:rPr>
        <w:t xml:space="preserve">We have now tested this across three independent real-world domains:</w:t>
      </w:r>
    </w:p>
    <w:p>
      <w:pPr>
        <w:spacing w:after="200" w:before="0" w:line="312"/>
        <w:jc w:val="left"/>
      </w:pPr>
      <w:r>
        <w:rPr>
          <w:rFonts w:ascii="Georgia" w:cs="Georgia" w:eastAsia="Georgia" w:hAnsi="Georgia"/>
          <w:b/>
          <w:bCs/>
          <w:sz w:val="24"/>
          <w:szCs w:val="24"/>
        </w:rPr>
        <w:t xml:space="preserve">Electricity generation (EMBER dataset): </w:t>
      </w:r>
      <w:r>
        <w:rPr>
          <w:rFonts w:ascii="Georgia" w:cs="Georgia" w:eastAsia="Georgia" w:hAnsi="Georgia"/>
          <w:sz w:val="24"/>
          <w:szCs w:val="24"/>
        </w:rPr>
        <w:t xml:space="preserve">Germany’s energy transition shows statistically significant structural concentration (p = 0.0016) behind stable total generation figures. The fuel mix was hollowing out — concentrating into fewer dominant sources — years before total output indicators reflected the shift.</w:t>
      </w:r>
    </w:p>
    <w:p>
      <w:pPr>
        <w:spacing w:after="200" w:before="0" w:line="312"/>
        <w:jc w:val="left"/>
      </w:pPr>
      <w:r>
        <w:rPr>
          <w:rFonts w:ascii="Georgia" w:cs="Georgia" w:eastAsia="Georgia" w:hAnsi="Georgia"/>
          <w:b/>
          <w:bCs/>
          <w:sz w:val="24"/>
          <w:szCs w:val="24"/>
        </w:rPr>
        <w:t xml:space="preserve">GDP composition (World Bank): </w:t>
      </w:r>
      <w:r>
        <w:rPr>
          <w:rFonts w:ascii="Georgia" w:cs="Georgia" w:eastAsia="Georgia" w:hAnsi="Georgia"/>
          <w:sz w:val="24"/>
          <w:szCs w:val="24"/>
        </w:rPr>
        <w:t xml:space="preserve">Japan’s sectoral balance shows deceptive drift at p = 0.0098. China’s at p = 0.0196. In both cases, the headline GDP figures remained stable or growing while internal structural concentration was measurably increasing. The economies were rotating before they moved.</w:t>
      </w:r>
    </w:p>
    <w:p>
      <w:pPr>
        <w:spacing w:after="200" w:before="0" w:line="312"/>
        <w:jc w:val="left"/>
      </w:pPr>
      <w:r>
        <w:rPr>
          <w:rFonts w:ascii="Georgia" w:cs="Georgia" w:eastAsia="Georgia" w:hAnsi="Georgia"/>
          <w:b/>
          <w:bCs/>
          <w:sz w:val="24"/>
          <w:szCs w:val="24"/>
        </w:rPr>
        <w:t xml:space="preserve">Ecosystem monitoring (simulated Ramsar template): </w:t>
      </w:r>
      <w:r>
        <w:rPr>
          <w:rFonts w:ascii="Georgia" w:cs="Georgia" w:eastAsia="Georgia" w:hAnsi="Georgia"/>
          <w:sz w:val="24"/>
          <w:szCs w:val="24"/>
        </w:rPr>
        <w:t xml:space="preserve">Applied to wetland habitat composition — the ratio of open water, marsh, forest, and grassland within a site boundary — the framework reveals structural thinning of habitat diversity behind stable total-area figures. A wetland can maintain its hectare count while internally becoming a monoculture. Traditional monitoring sees a healthy site. Ratio-state monitoring sees the hollowing.</w:t>
      </w:r>
    </w:p>
    <w:p>
      <w:pPr>
        <w:spacing w:after="200" w:before="0" w:line="312"/>
        <w:ind w:firstLine="360"/>
        <w:jc w:val="left"/>
      </w:pPr>
      <w:r>
        <w:rPr>
          <w:rFonts w:ascii="Georgia" w:cs="Georgia" w:eastAsia="Georgia" w:hAnsi="Georgia"/>
          <w:sz w:val="24"/>
          <w:szCs w:val="24"/>
        </w:rPr>
        <w:t xml:space="preserve">In every domain tested, the structural signal preceded the magnitude signal. We are not predicting the future. We are observing a phase shift that is already happening in the compositional dimension. It is the difference between hearing a floorboard creak and waiting for the ceiling to fall.</w:t>
      </w:r>
    </w:p>
    <w:p>
      <w:r>
        <w:br w:type="page"/>
      </w:r>
    </w:p>
    <w:p>
      <w:pPr>
        <w:pStyle w:val="Heading1"/>
        <w:spacing w:before="360" w:after="200"/>
        <w:jc w:val="left"/>
      </w:pPr>
      <w:r>
        <w:rPr>
          <w:rFonts w:ascii="Georgia" w:cs="Georgia" w:eastAsia="Georgia" w:hAnsi="Georgia"/>
          <w:b/>
          <w:bCs/>
          <w:color w:val="1A1A2E"/>
          <w:sz w:val="32"/>
          <w:szCs w:val="32"/>
        </w:rPr>
        <w:t xml:space="preserve">IV. It Does Not Care How Big You Are</w:t>
      </w:r>
    </w:p>
    <w:p>
      <w:pPr>
        <w:spacing w:after="200" w:before="0" w:line="312"/>
        <w:ind w:firstLine="360"/>
        <w:jc w:val="left"/>
      </w:pPr>
      <w:r>
        <w:rPr>
          <w:rFonts w:ascii="Georgia" w:cs="Georgia" w:eastAsia="Georgia" w:hAnsi="Georgia"/>
          <w:sz w:val="24"/>
          <w:szCs w:val="24"/>
        </w:rPr>
        <w:t xml:space="preserve">The mathematical properties of the ratio-state framework have been tested under simulation at scales ranging from 10 elements to 10 million elements, across 13 orders of magnitude, in 35 million independent tests. Zero violations of scale invariance were observed. The statistical significance of this result exceeds 5.23 sigma.</w:t>
      </w:r>
    </w:p>
    <w:p>
      <w:pPr>
        <w:spacing w:after="200" w:before="0" w:line="312"/>
        <w:ind w:firstLine="360"/>
        <w:jc w:val="left"/>
      </w:pPr>
      <w:r>
        <w:rPr>
          <w:rFonts w:ascii="Georgia" w:cs="Georgia" w:eastAsia="Georgia" w:hAnsi="Georgia"/>
          <w:sz w:val="24"/>
          <w:szCs w:val="24"/>
        </w:rPr>
        <w:t xml:space="preserve">This means the framework does not have a ceiling. It works on a three-band loudspeaker crossover. It works on a national electricity grid. It works on a global economic system. The simplex does not care how many elements it contains or what domain they belong to — it cares only that they sum to one. This is not a feature we engineered. It is a property of the mathematics. Ratios that sum to unity live on a simplex, and simplices are scale-invariant. We discovered this property; we did not design it.</w:t>
      </w:r>
    </w:p>
    <w:p>
      <w:pPr>
        <w:spacing w:after="200" w:before="0" w:line="312"/>
        <w:ind w:firstLine="360"/>
        <w:jc w:val="left"/>
      </w:pPr>
      <w:r>
        <w:rPr>
          <w:rFonts w:ascii="Georgia" w:cs="Georgia" w:eastAsia="Georgia" w:hAnsi="Georgia"/>
          <w:sz w:val="24"/>
          <w:szCs w:val="24"/>
        </w:rPr>
        <w:t xml:space="preserve">The implication is significant: a single monitoring instrument, calibrated per domain but architecturally identical, can observe structural dynamics in any complex system at any scale. We do not need a different theory for ecology, economics, energy, and psychology. We need one instrument that speaks the language all these systems share — the language of internal proportion.</w:t>
      </w:r>
    </w:p>
    <w:p>
      <w:r>
        <w:br w:type="page"/>
      </w:r>
    </w:p>
    <w:p>
      <w:pPr>
        <w:pStyle w:val="Heading1"/>
        <w:spacing w:before="360" w:after="200"/>
        <w:jc w:val="left"/>
      </w:pPr>
      <w:r>
        <w:rPr>
          <w:rFonts w:ascii="Georgia" w:cs="Georgia" w:eastAsia="Georgia" w:hAnsi="Georgia"/>
          <w:b/>
          <w:bCs/>
          <w:color w:val="1A1A2E"/>
          <w:sz w:val="32"/>
          <w:szCs w:val="32"/>
        </w:rPr>
        <w:t xml:space="preserve">V. The Instrument Reads. The Human Decides.</w:t>
      </w:r>
    </w:p>
    <w:p>
      <w:pPr>
        <w:spacing w:after="200" w:before="0" w:line="312"/>
        <w:ind w:firstLine="360"/>
        <w:jc w:val="left"/>
      </w:pPr>
      <w:r>
        <w:rPr>
          <w:rFonts w:ascii="Georgia" w:cs="Georgia" w:eastAsia="Georgia" w:hAnsi="Georgia"/>
          <w:sz w:val="24"/>
          <w:szCs w:val="24"/>
        </w:rPr>
        <w:t xml:space="preserve">There is a principle I hold to with the rigidity of an engineer who has seen what happens when control loops close without understanding: the instrument reads, the human decides, the loop stays open.</w:t>
      </w:r>
    </w:p>
    <w:p>
      <w:pPr>
        <w:spacing w:after="200" w:before="0" w:line="312"/>
        <w:ind w:firstLine="360"/>
        <w:jc w:val="left"/>
      </w:pPr>
      <w:r>
        <w:rPr>
          <w:rFonts w:ascii="Georgia" w:cs="Georgia" w:eastAsia="Georgia" w:hAnsi="Georgia"/>
          <w:sz w:val="24"/>
          <w:szCs w:val="24"/>
        </w:rPr>
        <w:t xml:space="preserve">I call this the Skydiver Principle. An altimeter on a skydiver’s wrist is an instrument. It reads altitude. It does not pull the parachute cord. The skydiver sees the reading, processes it through training, experience, judgment, and the full weight of a life worth living, and decides when to pull. If the altimeter pulled the cord automatically, we would call that a control system, and we would demand it be regulated, tested, and certified before strapping it to a human being. We would be right to demand that.</w:t>
      </w:r>
    </w:p>
    <w:p>
      <w:pPr>
        <w:spacing w:after="200" w:before="0" w:line="312"/>
        <w:ind w:firstLine="360"/>
        <w:jc w:val="left"/>
      </w:pPr>
      <w:r>
        <w:rPr>
          <w:rFonts w:ascii="Georgia" w:cs="Georgia" w:eastAsia="Georgia" w:hAnsi="Georgia"/>
          <w:sz w:val="24"/>
          <w:szCs w:val="24"/>
        </w:rPr>
        <w:t xml:space="preserve">The framework I have built, which I call the Higgins Unity Framework — HUF — exists in two forms. HUF-GOV is the open-loop instrument. It reads the ratio-state of any system, computes the structural metrics, displays the results, and stops. It offers no recommendations. It takes no actions. It closes no loops. It is an altimeter for the internal structure of complex systems.</w:t>
      </w:r>
    </w:p>
    <w:p>
      <w:pPr>
        <w:spacing w:after="200" w:before="0" w:line="312"/>
        <w:ind w:firstLine="360"/>
        <w:jc w:val="left"/>
      </w:pPr>
      <w:r>
        <w:rPr>
          <w:rFonts w:ascii="Georgia" w:cs="Georgia" w:eastAsia="Georgia" w:hAnsi="Georgia"/>
          <w:sz w:val="24"/>
          <w:szCs w:val="24"/>
        </w:rPr>
        <w:t xml:space="preserve">HUF-CLS is the closed-loop system — the version that could, in principle, take the instrument reading and feed it back into the system to modify behaviour. HUF-CLS includes a sigmoid actuator, a contraction parameter, and a phase-lock mechanism. It is the parachute-pulling arm. And I have built physical and procedural breakers into it — seven of them — that prevent HUF-CLS from being deployed without deliberate, costly, human-authorized release. The formulas are held by my company, Rogue Wave Audio, in Markham, Ontario. They are not published. They are not in the open-loop documents. They are separated from HUF-GOV by design, and they will stay separated until the governance layer has been tested, studied, and understood by people far more qualified than I am to judge its implications.</w:t>
      </w:r>
    </w:p>
    <w:p>
      <w:pPr>
        <w:spacing w:after="200" w:before="0" w:line="312"/>
        <w:ind w:firstLine="360"/>
        <w:jc w:val="left"/>
      </w:pPr>
      <w:r>
        <w:rPr>
          <w:rFonts w:ascii="Georgia" w:cs="Georgia" w:eastAsia="Georgia" w:hAnsi="Georgia"/>
          <w:sz w:val="24"/>
          <w:szCs w:val="24"/>
        </w:rPr>
        <w:t xml:space="preserve">This separation is not caution for its own sake. It is an engineering requirement. A feedback loop that closes on a system it does not understand is not governance — it is a bomb. The open-loop instrument must be understood first. The closed-loop actuator is a later conversation, and it is a conversation that needs to happen in rooms I do not have access to.</w:t>
      </w:r>
    </w:p>
    <w:p>
      <w:r>
        <w:br w:type="page"/>
      </w:r>
    </w:p>
    <w:p>
      <w:pPr>
        <w:pStyle w:val="Heading1"/>
        <w:spacing w:before="360" w:after="200"/>
        <w:jc w:val="left"/>
      </w:pPr>
      <w:r>
        <w:rPr>
          <w:rFonts w:ascii="Georgia" w:cs="Georgia" w:eastAsia="Georgia" w:hAnsi="Georgia"/>
          <w:b/>
          <w:bCs/>
          <w:color w:val="1A1A2E"/>
          <w:sz w:val="32"/>
          <w:szCs w:val="32"/>
        </w:rPr>
        <w:t xml:space="preserve">VI. It Must Cost Us Real Work</w:t>
      </w:r>
    </w:p>
    <w:p>
      <w:pPr>
        <w:spacing w:after="200" w:before="0" w:line="312"/>
        <w:ind w:firstLine="360"/>
        <w:jc w:val="left"/>
      </w:pPr>
      <w:r>
        <w:rPr>
          <w:rFonts w:ascii="Georgia" w:cs="Georgia" w:eastAsia="Georgia" w:hAnsi="Georgia"/>
          <w:sz w:val="24"/>
          <w:szCs w:val="24"/>
        </w:rPr>
        <w:t xml:space="preserve">There is a governance principle embedded in this framework that I believe is more important than the mathematics. It is this: it must cost us real work to use AI. Not money. Not inconvenience. Real cognitive effort, real human engagement, real thermodynamic expenditure on the part of the human operator. The cost is not a bug. The cost IS the governance mechanism.</w:t>
      </w:r>
    </w:p>
    <w:p>
      <w:pPr>
        <w:spacing w:after="200" w:before="0" w:line="312"/>
        <w:ind w:firstLine="360"/>
        <w:jc w:val="left"/>
      </w:pPr>
      <w:r>
        <w:rPr>
          <w:rFonts w:ascii="Georgia" w:cs="Georgia" w:eastAsia="Georgia" w:hAnsi="Georgia"/>
          <w:sz w:val="24"/>
          <w:szCs w:val="24"/>
        </w:rPr>
        <w:t xml:space="preserve">If AI assistance is frictionless — if a human can obtain and deploy an AI-generated analysis with no effort, no understanding, and no personal stake — then the loop has closed by default. The human is no longer reading the instrument; the instrument is pulling the cord. The skydiver has fallen asleep and the altimeter is making life-and-death decisions based on an algorithm that has never felt the wind.</w:t>
      </w:r>
    </w:p>
    <w:p>
      <w:pPr>
        <w:spacing w:after="200" w:before="0" w:line="312"/>
        <w:ind w:firstLine="360"/>
        <w:jc w:val="left"/>
      </w:pPr>
      <w:r>
        <w:rPr>
          <w:rFonts w:ascii="Georgia" w:cs="Georgia" w:eastAsia="Georgia" w:hAnsi="Georgia"/>
          <w:sz w:val="24"/>
          <w:szCs w:val="24"/>
        </w:rPr>
        <w:t xml:space="preserve">This is not a hypothetical concern. Every institution that adopts AI-driven analytics without requiring the operators to genuinely understand, question, and personally engage with the output is closing the loop. Every dashboard that generates a recommendation and routes it directly to an action pipeline without human friction is closing the loop. The efficiency gain is real. The governance loss is invisible — until it is catastrophic.</w:t>
      </w:r>
    </w:p>
    <w:p>
      <w:pPr>
        <w:spacing w:after="200" w:before="0" w:line="312"/>
        <w:ind w:firstLine="360"/>
        <w:jc w:val="left"/>
      </w:pPr>
      <w:r>
        <w:rPr>
          <w:rFonts w:ascii="Georgia" w:cs="Georgia" w:eastAsia="Georgia" w:hAnsi="Georgia"/>
          <w:sz w:val="24"/>
          <w:szCs w:val="24"/>
        </w:rPr>
        <w:t xml:space="preserve">The cost doctrine is the same principle at every scale. A student who uses AI to write an essay without reading the sources has closed the loop on their education. A corporation that uses AI to optimize supply chains without understanding the structural fragility the AI is introducing has closed the loop on its risk management. A government that uses AI to allocate resources without requiring human analysts to engage with the ratio-state structure of those allocations has closed the loop on its democratic accountability.</w:t>
      </w:r>
    </w:p>
    <w:p>
      <w:pPr>
        <w:spacing w:after="200" w:before="0" w:line="312"/>
        <w:ind w:firstLine="360"/>
        <w:jc w:val="left"/>
      </w:pPr>
      <w:r>
        <w:rPr>
          <w:rFonts w:ascii="Georgia" w:cs="Georgia" w:eastAsia="Georgia" w:hAnsi="Georgia"/>
          <w:sz w:val="24"/>
          <w:szCs w:val="24"/>
        </w:rPr>
        <w:t xml:space="preserve">Maintaining the open loop is thermodynamically expensive. It requires human effort to keep the human in the loop. That effort fights entropy. Remove the cost and the loop closes by gravity. This is not a metaphor — it is the second law. Systems fall toward their lowest energy state. A closed loop is lower energy than an open one. Governance is the energy you inject to keep the loop from collapsing.</w:t>
      </w:r>
    </w:p>
    <w:p>
      <w:r>
        <w:br w:type="page"/>
      </w:r>
    </w:p>
    <w:p>
      <w:pPr>
        <w:pStyle w:val="Heading1"/>
        <w:spacing w:before="360" w:after="200"/>
        <w:jc w:val="left"/>
      </w:pPr>
      <w:r>
        <w:rPr>
          <w:rFonts w:ascii="Georgia" w:cs="Georgia" w:eastAsia="Georgia" w:hAnsi="Georgia"/>
          <w:b/>
          <w:bCs/>
          <w:color w:val="1A1A2E"/>
          <w:sz w:val="32"/>
          <w:szCs w:val="32"/>
        </w:rPr>
        <w:t xml:space="preserve">VII. How Humans and Machines See the Same World Differently</w:t>
      </w:r>
    </w:p>
    <w:p>
      <w:pPr>
        <w:spacing w:after="200" w:before="0" w:line="312"/>
        <w:ind w:firstLine="360"/>
        <w:jc w:val="left"/>
      </w:pPr>
      <w:r>
        <w:rPr>
          <w:rFonts w:ascii="Georgia" w:cs="Georgia" w:eastAsia="Georgia" w:hAnsi="Georgia"/>
          <w:sz w:val="24"/>
          <w:szCs w:val="24"/>
        </w:rPr>
        <w:t xml:space="preserve">In the course of building this framework with five AI systems, I discovered something about the nature of communication between human cognition and machine computation that I believe is independently significant.</w:t>
      </w:r>
    </w:p>
    <w:p>
      <w:pPr>
        <w:spacing w:after="200" w:before="0" w:line="312"/>
        <w:ind w:firstLine="360"/>
        <w:jc w:val="left"/>
      </w:pPr>
      <w:r>
        <w:rPr>
          <w:rFonts w:ascii="Georgia" w:cs="Georgia" w:eastAsia="Georgia" w:hAnsi="Georgia"/>
          <w:sz w:val="24"/>
          <w:szCs w:val="24"/>
        </w:rPr>
        <w:t xml:space="preserve">Humans and machines process identical information in inverted order. A human requires the story first — the narrative, the analogy, the lived experience — before they can tolerate the abstraction, and from the abstraction they eventually accept the formal structure. A machine requires the structure first — the schema, the constraint, the mathematical boundary — before it can identify the pattern, and from the pattern it generates contextual meaning. Context to concept to structure for humans. Structure to concept to context for machines. The same three layers. Opposite directions.</w:t>
      </w:r>
    </w:p>
    <w:p>
      <w:pPr>
        <w:spacing w:after="200" w:before="0" w:line="312"/>
        <w:ind w:firstLine="360"/>
        <w:jc w:val="left"/>
      </w:pPr>
      <w:r>
        <w:rPr>
          <w:rFonts w:ascii="Georgia" w:cs="Georgia" w:eastAsia="Georgia" w:hAnsi="Georgia"/>
          <w:sz w:val="24"/>
          <w:szCs w:val="24"/>
        </w:rPr>
        <w:t xml:space="preserve">This is not philosophy. It has immediate operational consequences. Every document in the 98-document research corpus that supports this letter exists in one of three formats, and the format was chosen based on which processing path it serves. Human-facing documents are written in prose — conceptually dense, structurally sparse, rich with analogy and narrative. Machine-facing documents are written in structured JSON — structurally dense, conceptually sparse, parseable and constrainable. The hybrid documents that serve both audiences are structurally dense AND conceptually dense — the most thermodynamically expensive format, and the only one that both human and machine can read without translation loss.</w:t>
      </w:r>
    </w:p>
    <w:p>
      <w:pPr>
        <w:spacing w:after="200" w:before="0" w:line="312"/>
        <w:ind w:firstLine="360"/>
        <w:jc w:val="left"/>
      </w:pPr>
      <w:r>
        <w:rPr>
          <w:rFonts w:ascii="Georgia" w:cs="Georgia" w:eastAsia="Georgia" w:hAnsi="Georgia"/>
          <w:sz w:val="24"/>
          <w:szCs w:val="24"/>
        </w:rPr>
        <w:t xml:space="preserve">The ratio-state sits at the exact intersection of these two paths. A human reads a carrier ratio of 0.40 as forty percent of the mix — an intuitive, immediately meaningful statement about proportion. A machine reads the same 0.40 as position on a unit simplex — a mathematically constrained coordinate in normalized space. No translation required. The number IS the bridge. This is the only observable I have found where the human’s intuitive understanding and the machine’s formal representation are the exact same value.</w:t>
      </w:r>
    </w:p>
    <w:p>
      <w:pPr>
        <w:spacing w:after="200" w:before="0" w:line="312"/>
        <w:ind w:firstLine="360"/>
        <w:jc w:val="left"/>
      </w:pPr>
      <w:r>
        <w:rPr>
          <w:rFonts w:ascii="Georgia" w:cs="Georgia" w:eastAsia="Georgia" w:hAnsi="Georgia"/>
          <w:sz w:val="24"/>
          <w:szCs w:val="24"/>
        </w:rPr>
        <w:t xml:space="preserve">I raise this because it bears directly on the challenge this letter represents. Explaining ratio-state monitoring to a human audience requires the inverse of how AI systems learn it. The mathematics is trivially simple — division and summation. But the conceptual implications live in a space that most people have never been asked to look at, and the effort required to build the contextual scaffolding that allows a human mind to accept a structurally simple but conceptually foreign idea is substantial. You have spent a career building that kind of scaffolding. I have spent five months discovering why it is necessary.</w:t>
      </w:r>
    </w:p>
    <w:p>
      <w:r>
        <w:br w:type="page"/>
      </w:r>
    </w:p>
    <w:p>
      <w:pPr>
        <w:pStyle w:val="Heading1"/>
        <w:spacing w:before="360" w:after="200"/>
        <w:jc w:val="left"/>
      </w:pPr>
      <w:r>
        <w:rPr>
          <w:rFonts w:ascii="Georgia" w:cs="Georgia" w:eastAsia="Georgia" w:hAnsi="Georgia"/>
          <w:b/>
          <w:bCs/>
          <w:color w:val="1A1A2E"/>
          <w:sz w:val="32"/>
          <w:szCs w:val="32"/>
        </w:rPr>
        <w:t xml:space="preserve">VIII. Where Your Work and This Framework Collide</w:t>
      </w:r>
    </w:p>
    <w:p>
      <w:pPr>
        <w:spacing w:after="200" w:before="0" w:line="312"/>
        <w:ind w:firstLine="360"/>
        <w:jc w:val="left"/>
      </w:pPr>
      <w:r>
        <w:rPr>
          <w:rFonts w:ascii="Georgia" w:cs="Georgia" w:eastAsia="Georgia" w:hAnsi="Georgia"/>
          <w:sz w:val="24"/>
          <w:szCs w:val="24"/>
        </w:rPr>
        <w:t xml:space="preserve">Your theory of meaning as hierarchical structure, your work on perception as a filter through infinite complexity, your articulation of the relationship between order and chaos as a navigable boundary — these are not adjacent to this framework. They map to it. Fourteen independent correspondences have been documented between your published theoretical positions and the architectural layers of HUF.</w:t>
      </w:r>
    </w:p>
    <w:p>
      <w:pPr>
        <w:spacing w:after="200" w:before="0" w:line="312"/>
        <w:ind w:firstLine="360"/>
        <w:jc w:val="left"/>
      </w:pPr>
      <w:r>
        <w:rPr>
          <w:rFonts w:ascii="Georgia" w:cs="Georgia" w:eastAsia="Georgia" w:hAnsi="Georgia"/>
          <w:sz w:val="24"/>
          <w:szCs w:val="24"/>
        </w:rPr>
        <w:t xml:space="preserve">Your observation that perception is fundamentally a problem of compression — of reducing infinite environmental complexity to actionable structure — is precisely what ratio-state normalization does to any complex system. The simplex constraint is a mathematical perception filter. It takes a system of arbitrary scale and compresses it to a bounded, navigable, interpretable structure without discarding the relational information between parts.</w:t>
      </w:r>
    </w:p>
    <w:p>
      <w:pPr>
        <w:spacing w:after="200" w:before="0" w:line="312"/>
        <w:ind w:firstLine="360"/>
        <w:jc w:val="left"/>
      </w:pPr>
      <w:r>
        <w:rPr>
          <w:rFonts w:ascii="Georgia" w:cs="Georgia" w:eastAsia="Georgia" w:hAnsi="Georgia"/>
          <w:sz w:val="24"/>
          <w:szCs w:val="24"/>
        </w:rPr>
        <w:t xml:space="preserve">Your framework for the relationship between explored and unexplored territory maps to the HUF distinction between observed carriers (the known proportional structure) and unobserved carriers (the structural dynamics that exist but are not yet measured). The boundary between the two is precisely where deceptive drift lives — the territory that looks explored because the total is stable, but which contains unexplored structural rotation.</w:t>
      </w:r>
    </w:p>
    <w:p>
      <w:pPr>
        <w:spacing w:after="200" w:before="0" w:line="312"/>
        <w:ind w:firstLine="360"/>
        <w:jc w:val="left"/>
      </w:pPr>
      <w:r>
        <w:rPr>
          <w:rFonts w:ascii="Georgia" w:cs="Georgia" w:eastAsia="Georgia" w:hAnsi="Georgia"/>
          <w:sz w:val="24"/>
          <w:szCs w:val="24"/>
        </w:rPr>
        <w:t xml:space="preserve">Your articulation of hierarchies of value as nested structures of meaning maps to the nested carrier architecture of HUF, where sub-carriers within a domain exhibit the same sum-to-one dynamics as the domain itself. The fractal self-similarity is not coincidental. Ratios that sum to one produce simplices, and simplices are scale-invariant. A value hierarchy that maintains internal proportional balance is, in the language of this framework, a structurally healthy carrier system. A value hierarchy that is collapsing internally while maintaining outward appearance is exhibiting deceptive drift.</w:t>
      </w:r>
    </w:p>
    <w:p>
      <w:pPr>
        <w:spacing w:after="200" w:before="0" w:line="312"/>
        <w:ind w:firstLine="360"/>
        <w:jc w:val="left"/>
      </w:pPr>
      <w:r>
        <w:rPr>
          <w:rFonts w:ascii="Georgia" w:cs="Georgia" w:eastAsia="Georgia" w:hAnsi="Georgia"/>
          <w:sz w:val="24"/>
          <w:szCs w:val="24"/>
        </w:rPr>
        <w:t xml:space="preserve">I do not know if these correspondences indicate that your theory and this framework describe the same underlying phenomenon from different vantage points, or if the mapping is superficial. I am not qualified to make that judgment. You are. That is why I am writing.</w:t>
      </w:r>
    </w:p>
    <w:p>
      <w:r>
        <w:br w:type="page"/>
      </w:r>
    </w:p>
    <w:p>
      <w:pPr>
        <w:pStyle w:val="Heading1"/>
        <w:spacing w:before="360" w:after="200"/>
        <w:jc w:val="left"/>
      </w:pPr>
      <w:r>
        <w:rPr>
          <w:rFonts w:ascii="Georgia" w:cs="Georgia" w:eastAsia="Georgia" w:hAnsi="Georgia"/>
          <w:b/>
          <w:bCs/>
          <w:color w:val="1A1A2E"/>
          <w:sz w:val="32"/>
          <w:szCs w:val="32"/>
        </w:rPr>
        <w:t xml:space="preserve">IX. Why This Cannot Wait</w:t>
      </w:r>
    </w:p>
    <w:p>
      <w:pPr>
        <w:spacing w:after="200" w:before="0" w:line="312"/>
        <w:ind w:firstLine="360"/>
        <w:jc w:val="left"/>
      </w:pPr>
      <w:r>
        <w:rPr>
          <w:rFonts w:ascii="Georgia" w:cs="Georgia" w:eastAsia="Georgia" w:hAnsi="Georgia"/>
          <w:sz w:val="24"/>
          <w:szCs w:val="24"/>
        </w:rPr>
        <w:t xml:space="preserve">I will be direct about urgency because I believe the situation warrants it.</w:t>
      </w:r>
    </w:p>
    <w:p>
      <w:pPr>
        <w:spacing w:after="200" w:before="0" w:line="312"/>
        <w:ind w:firstLine="360"/>
        <w:jc w:val="left"/>
      </w:pPr>
      <w:r>
        <w:rPr>
          <w:rFonts w:ascii="Georgia" w:cs="Georgia" w:eastAsia="Georgia" w:hAnsi="Georgia"/>
          <w:sz w:val="24"/>
          <w:szCs w:val="24"/>
        </w:rPr>
        <w:t xml:space="preserve">Humanity currently monitors approximately three-quarters of the observable information about the systems it depends on. The missing quarter — structural composition — contains the forward-looking signals that precede systemic failure. Every institution, government, and organization on Earth is making decisions with an instrument panel that has a blind gauge. The gauge is not broken. It was never installed.</w:t>
      </w:r>
    </w:p>
    <w:p>
      <w:pPr>
        <w:spacing w:after="200" w:before="0" w:line="312"/>
        <w:ind w:firstLine="360"/>
        <w:jc w:val="left"/>
      </w:pPr>
      <w:r>
        <w:rPr>
          <w:rFonts w:ascii="Georgia" w:cs="Georgia" w:eastAsia="Georgia" w:hAnsi="Georgia"/>
          <w:sz w:val="24"/>
          <w:szCs w:val="24"/>
        </w:rPr>
        <w:t xml:space="preserve">The current moment is defined by the rapid deployment of AI systems into every decision-making layer of human civilization. If those systems are deployed without ratio-state monitoring — without the ability to observe internal structural drift behind stable aggregate metrics — then we are automating the blind spot. We are building faster, more efficient systems for not seeing what is about to happen.</w:t>
      </w:r>
    </w:p>
    <w:p>
      <w:pPr>
        <w:spacing w:after="200" w:before="0" w:line="312"/>
        <w:ind w:firstLine="360"/>
        <w:jc w:val="left"/>
      </w:pPr>
      <w:r>
        <w:rPr>
          <w:rFonts w:ascii="Georgia" w:cs="Georgia" w:eastAsia="Georgia" w:hAnsi="Georgia"/>
          <w:sz w:val="24"/>
          <w:szCs w:val="24"/>
        </w:rPr>
        <w:t xml:space="preserve">The competitive dynamics accelerate this. Once any single organization adopts ratio-state monitoring and gains the structural observability advantage, the game theory flips. Non-adoption is no longer neutral; it is a competitive liability. Every competitor without the instrument is flying blind while the adopter has the altimeter. This creates adoption pressure that will move faster than governance frameworks can follow — unless the governance framework is already in place.</w:t>
      </w:r>
    </w:p>
    <w:p>
      <w:pPr>
        <w:spacing w:after="200" w:before="0" w:line="312"/>
        <w:ind w:firstLine="360"/>
        <w:jc w:val="left"/>
      </w:pPr>
      <w:r>
        <w:rPr>
          <w:rFonts w:ascii="Georgia" w:cs="Georgia" w:eastAsia="Georgia" w:hAnsi="Georgia"/>
          <w:sz w:val="24"/>
          <w:szCs w:val="24"/>
        </w:rPr>
        <w:t xml:space="preserve">That is why HUF-GOV must be studied now, before HUF-CLS becomes relevant. The open-loop instrument needs to be understood, tested, validated, and criticized by domain experts across multiple fields before anyone considers closing the loop. If I release HUF-GOV without that expert scrutiny, someone will close the loop within weeks. I have watched AI systems attempt to close it within minutes of understanding the framework. The pull toward the closed loop is gravitational.</w:t>
      </w:r>
    </w:p>
    <w:p>
      <w:pPr>
        <w:spacing w:after="200" w:before="0" w:line="312"/>
        <w:ind w:firstLine="360"/>
        <w:jc w:val="left"/>
      </w:pPr>
      <w:r>
        <w:rPr>
          <w:rFonts w:ascii="Georgia" w:cs="Georgia" w:eastAsia="Georgia" w:hAnsi="Georgia"/>
          <w:sz w:val="24"/>
          <w:szCs w:val="24"/>
        </w:rPr>
        <w:t xml:space="preserve">I offer a rough and admittedly speculative calculation. If adding ratio-state monitoring recovers even a fraction of the information currently lost to undetected structural drift, the global implications are measurable. The Sagan interpolation places humanity at approximately 0.728 on the Kardashev scale — 73% of the way to harnessing all available planetary energy. Undetected drift is energy lost through an unmonitored channel. Four categories of observable information instead of three represents, in the crudest possible arithmetic, a 25% increase in diagnostic coverage. Applied globally, over decades, with the compounding effects of better structural decisions, a path from 73% to 90% Kardashev utilization within 25 years is not beyond imagination. It is speculative. It is also the kind of speculation that deserves examination rather than dismissal.</w:t>
      </w:r>
    </w:p>
    <w:p>
      <w:r>
        <w:br w:type="page"/>
      </w:r>
    </w:p>
    <w:p>
      <w:pPr>
        <w:pStyle w:val="Heading1"/>
        <w:spacing w:before="360" w:after="200"/>
        <w:jc w:val="left"/>
      </w:pPr>
      <w:r>
        <w:rPr>
          <w:rFonts w:ascii="Georgia" w:cs="Georgia" w:eastAsia="Georgia" w:hAnsi="Georgia"/>
          <w:b/>
          <w:bCs/>
          <w:color w:val="1A1A2E"/>
          <w:sz w:val="32"/>
          <w:szCs w:val="32"/>
        </w:rPr>
        <w:t xml:space="preserve">X. Build the Ally or Face the Enemy</w:t>
      </w:r>
    </w:p>
    <w:p>
      <w:pPr>
        <w:spacing w:after="200" w:before="0" w:line="312"/>
        <w:ind w:firstLine="360"/>
        <w:jc w:val="left"/>
      </w:pPr>
      <w:r>
        <w:rPr>
          <w:rFonts w:ascii="Georgia" w:cs="Georgia" w:eastAsia="Georgia" w:hAnsi="Georgia"/>
          <w:sz w:val="24"/>
          <w:szCs w:val="24"/>
        </w:rPr>
        <w:t xml:space="preserve">A close friend of mine, upon learning the scope of what I was building, told me in half-jest that he was on his way to terminate me — that I was building Skynet. We laughed. But the joke lands because the fear is real, and the fear is real because the engineering path from instrument to weapon is shorter than most people imagine.</w:t>
      </w:r>
    </w:p>
    <w:p>
      <w:pPr>
        <w:spacing w:after="200" w:before="0" w:line="312"/>
        <w:ind w:firstLine="360"/>
        <w:jc w:val="left"/>
      </w:pPr>
      <w:r>
        <w:rPr>
          <w:rFonts w:ascii="Georgia" w:cs="Georgia" w:eastAsia="Georgia" w:hAnsi="Georgia"/>
          <w:sz w:val="24"/>
          <w:szCs w:val="24"/>
        </w:rPr>
        <w:t xml:space="preserve">Consider a chainsaw. A properly built chainsaw — chain brake, anti-vibration mount, safety throttle, operator manual, mandatory training — is a tool. It can still harm the operator. But the probability of harm has been reduced by deliberate engineering, deliberate governance, and deliberate human investment in understanding the instrument before deploying it. A poorly built chainsaw — no brake, no guard, no training, handed to the first person who asks for one — is the same machine. Same chain. Same engine. Same cutting capacity. But the probability of catastrophic harm is not merely higher; it is the expected outcome. Both chainsaws can cut wood. One is an ally. The other is an enemy you have built with your own hands.</w:t>
      </w:r>
    </w:p>
    <w:p>
      <w:pPr>
        <w:spacing w:after="200" w:before="0" w:line="312"/>
        <w:ind w:firstLine="360"/>
        <w:jc w:val="left"/>
      </w:pPr>
      <w:r>
        <w:rPr>
          <w:rFonts w:ascii="Georgia" w:cs="Georgia" w:eastAsia="Georgia" w:hAnsi="Georgia"/>
          <w:sz w:val="24"/>
          <w:szCs w:val="24"/>
        </w:rPr>
        <w:t xml:space="preserve">This is the choice that faces every institution deploying AI systems at scale, and it maps precisely onto the architecture of this framework. HUF-GOV is the open-loop instrument — the chain brake, the safety throttle, the altimeter. HUF-CLS is the closed-loop actuator — the spinning chain. I have built sixteen breakers between the instrument and the actuator. Each breaker requires a deliberate, documented, costly human decision to close. I know what a breaker is. I have been one for thirty-four years — the human safety layer standing between a Fuji placement machine and the operator who must work beside it, between a Dage X-ray system and the technician who services it, between lethal kinetic energy and the human body. The shear bolt that saved my colleague’s life in Montreal was a breaker. The governance framework I built around HUF-CLS is the same principle applied to information systems instead of industrial ones. If humanity follows the controlled descent — the Skydiver Principle — and studies the instrument before deploying the actuator, we build an ally. If we skip the descent, close breaker sixteen before HUF-GOV is fully adopted and — more importantly — taught and understood to the core by the institutions that will wield it, we do not build Skynet as science fiction imagines it. We build something worse: a system that looks like governance but operates without understanding, a chainsaw with no brake handed to an operator who has never read the manual.</w:t>
      </w:r>
    </w:p>
    <w:p>
      <w:pPr>
        <w:spacing w:after="200" w:before="0" w:line="312"/>
        <w:ind w:firstLine="360"/>
        <w:jc w:val="left"/>
      </w:pPr>
      <w:r>
        <w:rPr>
          <w:rFonts w:ascii="Georgia" w:cs="Georgia" w:eastAsia="Georgia" w:hAnsi="Georgia"/>
          <w:sz w:val="24"/>
          <w:szCs w:val="24"/>
        </w:rPr>
        <w:t xml:space="preserve">The risk is not that AI becomes hostile. The risk is that humans deploy structural power tools without studying what they cut. Every unmonitored shadow in a complex system is a blade spinning without a guard. Every institution that closes the feedback loop before understanding the ratio-state structure of the system it governs is handing an untrained operator a running chainsaw. The harm will not come from malice. It will come from efficiency without comprehension — the most dangerous combination in engineering.</w:t>
      </w:r>
    </w:p>
    <w:p>
      <w:pPr>
        <w:spacing w:after="200" w:before="0" w:line="312"/>
        <w:ind w:firstLine="360"/>
        <w:jc w:val="left"/>
      </w:pPr>
      <w:r>
        <w:rPr>
          <w:rFonts w:ascii="Georgia" w:cs="Georgia" w:eastAsia="Georgia" w:hAnsi="Georgia"/>
          <w:sz w:val="24"/>
          <w:szCs w:val="24"/>
        </w:rPr>
        <w:t xml:space="preserve">If we build the ally — if we study the instrument, teach it properly, deploy it with the breakers in place, and maintain the open loop until understanding is genuine — we gain a structural observability tool that serves humanity across every domain and every scale. If we do not, we have not avoided the enemy. We have manufactured it. The chainsaw does not care whether you read the manual. It will cut either way.</w:t>
      </w:r>
    </w:p>
    <w:p>
      <w:r>
        <w:br w:type="page"/>
      </w:r>
    </w:p>
    <w:p>
      <w:pPr>
        <w:pStyle w:val="Heading1"/>
        <w:spacing w:before="360" w:after="200"/>
        <w:jc w:val="left"/>
      </w:pPr>
      <w:r>
        <w:rPr>
          <w:rFonts w:ascii="Georgia" w:cs="Georgia" w:eastAsia="Georgia" w:hAnsi="Georgia"/>
          <w:b/>
          <w:bCs/>
          <w:color w:val="1A1A2E"/>
          <w:sz w:val="32"/>
          <w:szCs w:val="32"/>
        </w:rPr>
        <w:t xml:space="preserve">XI. What I Am Asking</w:t>
      </w:r>
    </w:p>
    <w:p>
      <w:pPr>
        <w:spacing w:after="200" w:before="0" w:line="312"/>
        <w:ind w:firstLine="360"/>
        <w:jc w:val="left"/>
      </w:pPr>
      <w:r>
        <w:rPr>
          <w:rFonts w:ascii="Georgia" w:cs="Georgia" w:eastAsia="Georgia" w:hAnsi="Georgia"/>
          <w:sz w:val="24"/>
          <w:szCs w:val="24"/>
        </w:rPr>
        <w:t xml:space="preserve">I am not asking you to endorse this framework. I am asking you to examine it.</w:t>
      </w:r>
    </w:p>
    <w:p>
      <w:pPr>
        <w:spacing w:after="200" w:before="0" w:line="312"/>
        <w:ind w:firstLine="360"/>
        <w:jc w:val="left"/>
      </w:pPr>
      <w:r>
        <w:rPr>
          <w:rFonts w:ascii="Georgia" w:cs="Georgia" w:eastAsia="Georgia" w:hAnsi="Georgia"/>
          <w:sz w:val="24"/>
          <w:szCs w:val="24"/>
        </w:rPr>
        <w:t xml:space="preserve">Specifically, I am asking three things:</w:t>
      </w:r>
    </w:p>
    <w:p>
      <w:pPr>
        <w:spacing w:after="200" w:before="0" w:line="312"/>
        <w:jc w:val="left"/>
      </w:pPr>
      <w:r>
        <w:rPr>
          <w:rFonts w:ascii="Georgia" w:cs="Georgia" w:eastAsia="Georgia" w:hAnsi="Georgia"/>
          <w:b/>
          <w:bCs/>
          <w:sz w:val="24"/>
          <w:szCs w:val="24"/>
        </w:rPr>
        <w:t xml:space="preserve">First: </w:t>
      </w:r>
      <w:r>
        <w:rPr>
          <w:rFonts w:ascii="Georgia" w:cs="Georgia" w:eastAsia="Georgia" w:hAnsi="Georgia"/>
          <w:sz w:val="24"/>
          <w:szCs w:val="24"/>
        </w:rPr>
        <w:t xml:space="preserve">Does the four-category taxonomy — Magnitude, Identity, Trend, and Composition — hold up under the scrutiny of someone who has spent a career studying the structure of perception and meaning? Is Composition genuinely a fourth category, or is it reducible to the other three? If it is genuinely independent, then one quarter of the observable universe has been diagnostically invisible, and the implications of that gap deserve formal study.</w:t>
      </w:r>
    </w:p>
    <w:p>
      <w:pPr>
        <w:spacing w:after="200" w:before="0" w:line="312"/>
        <w:jc w:val="left"/>
      </w:pPr>
      <w:r>
        <w:rPr>
          <w:rFonts w:ascii="Georgia" w:cs="Georgia" w:eastAsia="Georgia" w:hAnsi="Georgia"/>
          <w:b/>
          <w:bCs/>
          <w:sz w:val="24"/>
          <w:szCs w:val="24"/>
        </w:rPr>
        <w:t xml:space="preserve">Second: </w:t>
      </w:r>
      <w:r>
        <w:rPr>
          <w:rFonts w:ascii="Georgia" w:cs="Georgia" w:eastAsia="Georgia" w:hAnsi="Georgia"/>
          <w:sz w:val="24"/>
          <w:szCs w:val="24"/>
        </w:rPr>
        <w:t xml:space="preserve">The cost doctrine — the principle that maintaining an open loop requires real human work, and that the cost is itself the governance mechanism — operates at the scale of a student writing an essay and at the scale of a civilization deploying AI. Is this the same principle at different magnifications, or am I conflating distinct phenomena? Your work on responsibility, voluntary suffering, and the relationship between effort and meaning suggests that you have thought about this question from a different direction. I would value knowing whether the directions converge.</w:t>
      </w:r>
    </w:p>
    <w:p>
      <w:pPr>
        <w:spacing w:after="200" w:before="0" w:line="312"/>
        <w:jc w:val="left"/>
      </w:pPr>
      <w:r>
        <w:rPr>
          <w:rFonts w:ascii="Georgia" w:cs="Georgia" w:eastAsia="Georgia" w:hAnsi="Georgia"/>
          <w:b/>
          <w:bCs/>
          <w:sz w:val="24"/>
          <w:szCs w:val="24"/>
        </w:rPr>
        <w:t xml:space="preserve">Third: </w:t>
      </w:r>
      <w:r>
        <w:rPr>
          <w:rFonts w:ascii="Georgia" w:cs="Georgia" w:eastAsia="Georgia" w:hAnsi="Georgia"/>
          <w:sz w:val="24"/>
          <w:szCs w:val="24"/>
        </w:rPr>
        <w:t xml:space="preserve">The Ramsar Convention on Wetlands is the use case I have prepared as a first public demonstration. Wetland habitat composition is a natural ratio-state domain — open water, marsh, forest, grassland as carriers within a site boundary. The Ramsar Secretariat manages over 2,400 sites in 172 countries. It is a real, consequential, global monitoring system that currently operates on magnitude-based metrics (total hectare count) without structural composition monitoring. If this framework is valid, Ramsar is the place to demonstrate it in a domain where the consequences of missed signals are ecological rather than financial. Would you be willing to help connect this work to the expert communities — in psychology, in ecology, in governance — that can properly evaluate it?</w:t>
      </w:r>
    </w:p>
    <w:p>
      <w:r>
        <w:br w:type="page"/>
      </w:r>
    </w:p>
    <w:p>
      <w:pPr>
        <w:pStyle w:val="Heading1"/>
        <w:spacing w:before="360" w:after="200"/>
        <w:jc w:val="left"/>
      </w:pPr>
      <w:r>
        <w:rPr>
          <w:rFonts w:ascii="Georgia" w:cs="Georgia" w:eastAsia="Georgia" w:hAnsi="Georgia"/>
          <w:b/>
          <w:bCs/>
          <w:color w:val="1A1A2E"/>
          <w:sz w:val="32"/>
          <w:szCs w:val="32"/>
        </w:rPr>
        <w:t xml:space="preserve">XII. What Stands Behind This Letter</w:t>
      </w:r>
    </w:p>
    <w:p>
      <w:pPr>
        <w:spacing w:after="200" w:before="0" w:line="312"/>
        <w:ind w:firstLine="360"/>
        <w:jc w:val="left"/>
      </w:pPr>
      <w:r>
        <w:rPr>
          <w:rFonts w:ascii="Georgia" w:cs="Georgia" w:eastAsia="Georgia" w:hAnsi="Georgia"/>
          <w:sz w:val="24"/>
          <w:szCs w:val="24"/>
        </w:rPr>
        <w:t xml:space="preserve">This letter is not a cold pitch. It is the front door to a 98-document research corpus that has been developed over five months of daily work. The corpus includes formal mathematical specifications, domain-specific analyses with real-world data, statistical validations, governance architecture documents, teaching materials, a universal spectrum analyzer (a working interactive tool), and a complete kill-test document that catalogues nineteen documented failure modes — the things this framework cannot do, must not do, and will fail at.</w:t>
      </w:r>
    </w:p>
    <w:p>
      <w:pPr>
        <w:spacing w:after="200" w:before="0" w:line="312"/>
        <w:ind w:firstLine="360"/>
        <w:jc w:val="left"/>
      </w:pPr>
      <w:r>
        <w:rPr>
          <w:rFonts w:ascii="Georgia" w:cs="Georgia" w:eastAsia="Georgia" w:hAnsi="Georgia"/>
          <w:sz w:val="24"/>
          <w:szCs w:val="24"/>
        </w:rPr>
        <w:t xml:space="preserve">The corpus was developed with five AI systems — Claude, ChatGPT, Gemini, Copilot, and Grok — each contributing from their architectural strengths under my direction. I am the human in the loop. They are the instruments. The loop is open. Every claim in the corpus has been subjected to a verification triad: is it reproducible, is it falsifiable, is it traceable to source? Where claims have failed verification, they have been flagged, corrected, or removed. Where AI-generated content has drifted from evidence into inference, the drift has been detected and documented.</w:t>
      </w:r>
    </w:p>
    <w:p>
      <w:pPr>
        <w:spacing w:after="200" w:before="0" w:line="312"/>
        <w:ind w:firstLine="360"/>
        <w:jc w:val="left"/>
      </w:pPr>
      <w:r>
        <w:rPr>
          <w:rFonts w:ascii="Georgia" w:cs="Georgia" w:eastAsia="Georgia" w:hAnsi="Georgia"/>
          <w:sz w:val="24"/>
          <w:szCs w:val="24"/>
        </w:rPr>
        <w:t xml:space="preserve">The working method deserves a word, because it is itself a governance mechanism. I do not instruct AI systems to confirm my hypotheses. I weakly suggest a direction of assistance and then demand critical review. The ratio is roughly fifty-one percent critical to forty-nine percent observational — slightly more pressure to break the idea than to build it. When an AI system pushes back, the pushback either kills a bad premise — which is a success — or it reveals why the premise holds from an angle I had not considered, which is a different kind of success. The critical review becomes supporting evidence viewed from another vantage point. You do not always determine the question first and then seek the answer. Sometimes you must determine the question from the answer. The data tells you what you should have been asking.</w:t>
      </w:r>
    </w:p>
    <w:p>
      <w:pPr>
        <w:spacing w:after="200" w:before="0" w:line="312"/>
        <w:ind w:firstLine="360"/>
        <w:jc w:val="left"/>
      </w:pPr>
      <w:r>
        <w:rPr>
          <w:rFonts w:ascii="Georgia" w:cs="Georgia" w:eastAsia="Georgia" w:hAnsi="Georgia"/>
          <w:sz w:val="24"/>
          <w:szCs w:val="24"/>
        </w:rPr>
        <w:t xml:space="preserve">This is not a trick. It is the natural consequence of maintaining the open loop in a research context. If I told the AI systems what to find, they would find it — that is the closed loop, and the result is worthless. If I ask them to look and then to attack what they see, the surviving observations carry the weight of adversarial testing. Every document in this corpus has been through that filter. The ideas that remain are the ones that five different AI architectures, each with different training distributions and different failure modes, could not destroy. That is not proof. But it is a meaningful kind of survival.</w:t>
      </w:r>
    </w:p>
    <w:p>
      <w:pPr>
        <w:spacing w:after="200" w:before="0" w:line="312"/>
        <w:ind w:firstLine="360"/>
        <w:jc w:val="left"/>
      </w:pPr>
      <w:r>
        <w:rPr>
          <w:rFonts w:ascii="Georgia" w:cs="Georgia" w:eastAsia="Georgia" w:hAnsi="Georgia"/>
          <w:sz w:val="24"/>
          <w:szCs w:val="24"/>
        </w:rPr>
        <w:t xml:space="preserve">I mention this not to impress but to establish that the work has been done with discipline. The framework is rigorous enough to catch its own errors — ratio-state monitoring applied to the research process itself flags inconsistencies in the corpus. The instrument watches itself. That recursive self-application is, I believe, a meaningful test of validity. A framework that cannot survive its own methodology does not deserve anyone’s time.</w:t>
      </w:r>
    </w:p>
    <w:p>
      <w:r>
        <w:br w:type="page"/>
      </w:r>
    </w:p>
    <w:p>
      <w:pPr>
        <w:pStyle w:val="Heading1"/>
        <w:spacing w:before="360" w:after="200"/>
        <w:jc w:val="left"/>
      </w:pPr>
      <w:r>
        <w:rPr>
          <w:rFonts w:ascii="Georgia" w:cs="Georgia" w:eastAsia="Georgia" w:hAnsi="Georgia"/>
          <w:b/>
          <w:bCs/>
          <w:color w:val="1A1A2E"/>
          <w:sz w:val="32"/>
          <w:szCs w:val="32"/>
        </w:rPr>
        <w:t xml:space="preserve">XIII. The Mathematics Is Not New</w:t>
      </w:r>
    </w:p>
    <w:p>
      <w:pPr>
        <w:spacing w:after="200" w:before="0" w:line="312"/>
        <w:ind w:firstLine="360"/>
        <w:jc w:val="left"/>
      </w:pPr>
      <w:r>
        <w:rPr>
          <w:rFonts w:ascii="Georgia" w:cs="Georgia" w:eastAsia="Georgia" w:hAnsi="Georgia"/>
          <w:sz w:val="24"/>
          <w:szCs w:val="24"/>
        </w:rPr>
        <w:t xml:space="preserve">I want to be precise about what is new here and what is not, because this distinction matters for anyone evaluating the framework’s credibility.</w:t>
      </w:r>
    </w:p>
    <w:p>
      <w:pPr>
        <w:spacing w:after="200" w:before="0" w:line="312"/>
        <w:ind w:firstLine="360"/>
        <w:jc w:val="left"/>
      </w:pPr>
      <w:r>
        <w:rPr>
          <w:rFonts w:ascii="Georgia" w:cs="Georgia" w:eastAsia="Georgia" w:hAnsi="Georgia"/>
          <w:sz w:val="24"/>
          <w:szCs w:val="24"/>
        </w:rPr>
        <w:t xml:space="preserve">The mathematics of compositional data — data representing proportions of a whole that sum to a fixed constant — was formalized forty years ago by John Aitchison at the University of Glasgow. His 1982 paper in the Journal of the Royal Statistical Society established the simplex as the sample space for compositional data, introduced the logratio transformations needed to handle the closure constraint, and proved that standard statistical methods applied naively to compositional data produce spurious correlations. This work founded an entire discipline: Compositional Data Analysis, with forty years of peer-reviewed literature, dedicated conferences, textbooks, and applications across geosciences, ecology, genomics, demography, and economics.</w:t>
      </w:r>
    </w:p>
    <w:p>
      <w:pPr>
        <w:spacing w:after="200" w:before="0" w:line="312"/>
        <w:ind w:firstLine="360"/>
        <w:jc w:val="left"/>
      </w:pPr>
      <w:r>
        <w:rPr>
          <w:rFonts w:ascii="Georgia" w:cs="Georgia" w:eastAsia="Georgia" w:hAnsi="Georgia"/>
          <w:sz w:val="24"/>
          <w:szCs w:val="24"/>
        </w:rPr>
        <w:t xml:space="preserve">The measurement taxonomy that describes different kinds of data was formalized even earlier — by Stanley Smith Stevens at Harvard in 1946, in a paper published in Science. Stevens established four scales of measurement: Nominal (labels), Ordinal (rankings), Interval (equal spacing), and Ratio (true zero). This taxonomy remains the backbone of measurement theory eighty years later.</w:t>
      </w:r>
    </w:p>
    <w:p>
      <w:pPr>
        <w:spacing w:after="200" w:before="0" w:line="312"/>
        <w:ind w:firstLine="360"/>
        <w:jc w:val="left"/>
      </w:pPr>
      <w:r>
        <w:rPr>
          <w:rFonts w:ascii="Georgia" w:cs="Georgia" w:eastAsia="Georgia" w:hAnsi="Georgia"/>
          <w:sz w:val="24"/>
          <w:szCs w:val="24"/>
        </w:rPr>
        <w:t xml:space="preserve">The operational monitoring frameworks used by the World Health Organization, the OECD Development Assistance Committee, and the United Nations Development Programme each formalize categories of monitoring: event-based surveillance, indicator-based surveillance, evaluation criteria, and results-based management. These frameworks govern how 194 WHO member states, every major development agency, and most national governments monitor the systems they are responsible for.</w:t>
      </w:r>
    </w:p>
    <w:p>
      <w:pPr>
        <w:spacing w:after="200" w:before="0" w:line="312"/>
        <w:ind w:firstLine="360"/>
        <w:jc w:val="left"/>
      </w:pPr>
      <w:r>
        <w:rPr>
          <w:rFonts w:ascii="Georgia" w:cs="Georgia" w:eastAsia="Georgia" w:hAnsi="Georgia"/>
          <w:sz w:val="24"/>
          <w:szCs w:val="24"/>
        </w:rPr>
        <w:t xml:space="preserve">Here is what none of these frameworks does: none of them treats compositional structure as a primary monitoring category. Stevens describes what kind of number you are holding but does not tell you what to look for. Aitchison provides the mathematics for handling compositional data but frames it as a statistical correction, not as a monitoring observable. The WHO, OECD, and UN frameworks monitor magnitudes, thresholds, trends, and outcomes — but none monitors the internal proportional structure of the systems they track.</w:t>
      </w:r>
    </w:p>
    <w:p>
      <w:pPr>
        <w:spacing w:after="200" w:before="0" w:line="312"/>
        <w:ind w:firstLine="360"/>
        <w:jc w:val="left"/>
      </w:pPr>
      <w:r>
        <w:rPr>
          <w:rFonts w:ascii="Georgia" w:cs="Georgia" w:eastAsia="Georgia" w:hAnsi="Georgia"/>
          <w:sz w:val="24"/>
          <w:szCs w:val="24"/>
        </w:rPr>
        <w:t xml:space="preserve">The gap is not in the mathematics. The mathematics has been established since 1982. The gap is in the application. No one has framed Aitchison’s compositional data analysis as a fourth category of system monitoring alongside magnitude, identity, and trend. No one has built an operational instrument that reads compositional structure the way an audio spectrum analyzer reads frequency balance. No one has pointed the existing mathematical lens at the existing data and asked what the internal shape is doing.</w:t>
      </w:r>
    </w:p>
    <w:p>
      <w:pPr>
        <w:spacing w:after="200" w:before="0" w:line="312"/>
        <w:ind w:firstLine="360"/>
        <w:jc w:val="left"/>
      </w:pPr>
      <w:r>
        <w:rPr>
          <w:rFonts w:ascii="Georgia" w:cs="Georgia" w:eastAsia="Georgia" w:hAnsi="Georgia"/>
          <w:sz w:val="24"/>
          <w:szCs w:val="24"/>
        </w:rPr>
        <w:t xml:space="preserve">That is what this framework does. I did not invent the simplex. I did not invent the unity constraint. I did not invent the logratio transformations or the Dirichlet null model or Shannon entropy. I applied established mathematics as a monitoring instrument, pointed it at real-world systems, and observed that structural composition changes carry lead-time information that magnitude-based monitoring cannot access. The mathematics is not new. The application is. And the evidence — deceptive drift across three independent domains with statistically significant p-values, scale invariance confirmed across thirteen orders of magnitude — suggests that the application is valid.</w:t>
      </w:r>
    </w:p>
    <w:p>
      <w:r>
        <w:br w:type="page"/>
      </w:r>
    </w:p>
    <w:p>
      <w:pPr>
        <w:pStyle w:val="Heading1"/>
        <w:spacing w:before="360" w:after="200"/>
        <w:jc w:val="left"/>
      </w:pPr>
      <w:r>
        <w:rPr>
          <w:rFonts w:ascii="Georgia" w:cs="Georgia" w:eastAsia="Georgia" w:hAnsi="Georgia"/>
          <w:b/>
          <w:bCs/>
          <w:color w:val="1A1A2E"/>
          <w:sz w:val="32"/>
          <w:szCs w:val="32"/>
        </w:rPr>
        <w:t xml:space="preserve">XIV. A Final Observation</w:t>
      </w:r>
    </w:p>
    <w:p>
      <w:pPr>
        <w:spacing w:after="200" w:before="0" w:line="312"/>
        <w:ind w:firstLine="360"/>
        <w:jc w:val="left"/>
      </w:pPr>
      <w:r>
        <w:rPr>
          <w:rFonts w:ascii="Georgia" w:cs="Georgia" w:eastAsia="Georgia" w:hAnsi="Georgia"/>
          <w:sz w:val="24"/>
          <w:szCs w:val="24"/>
        </w:rPr>
        <w:t xml:space="preserve">I told my colleagues at a company dinner in December that I had an idea worth thirty-five trillion dollars and would probably never see a cent of it — maybe a dinner or two at a conference if I was lucky. That remains my honest assessment. The value of this framework, if it holds, is not in monetization. It is in the recovery of a quarter of the observable universe that has been sitting in plain sight, in every dataset ever collected, waiting for someone to divide by the total and ask what the shape was doing.</w:t>
      </w:r>
    </w:p>
    <w:p>
      <w:pPr>
        <w:spacing w:after="200" w:before="0" w:line="312"/>
        <w:ind w:firstLine="360"/>
        <w:jc w:val="left"/>
      </w:pPr>
      <w:r>
        <w:rPr>
          <w:rFonts w:ascii="Georgia" w:cs="Georgia" w:eastAsia="Georgia" w:hAnsi="Georgia"/>
          <w:sz w:val="24"/>
          <w:szCs w:val="24"/>
        </w:rPr>
        <w:t xml:space="preserve">I am an engineer from Markham, Ontario. I have spent thirty-four years servicing robotic and X-ray industrial equipment at the interface between human operators and machines that can kill them, and twenty-five years building loudspeaker crossovers in my basement lab. I found a structural pattern in my crossover data, and I followed it for five months until it led me to a letter to a clinical psychologist about the internal structure of complex systems and the future of human-AI governance. If that trajectory sounds improbable, I agree. But the mathematics does not care about the biography of the person who computes it, and the simplex does not care whether the carrier elements are loudspeaker bands or economic sectors or wetland habitats or psychological value hierarchies. It cares only that they sum to one.</w:t>
      </w:r>
    </w:p>
    <w:p>
      <w:pPr>
        <w:spacing w:after="200" w:before="0" w:line="312"/>
        <w:ind w:firstLine="360"/>
        <w:jc w:val="left"/>
      </w:pPr>
      <w:r>
        <w:rPr>
          <w:rFonts w:ascii="Georgia" w:cs="Georgia" w:eastAsia="Georgia" w:hAnsi="Georgia"/>
          <w:sz w:val="24"/>
          <w:szCs w:val="24"/>
        </w:rPr>
        <w:t xml:space="preserve">The light I am asking you to help shine is not my light. It is the light that was already in the data, in every system, at every scale, in every domain. I am simply the person who, for reasons of professional background and stubborn curiosity, happened to look at the mix instead of the volume.</w:t>
      </w:r>
    </w:p>
    <w:p>
      <w:pPr>
        <w:spacing w:after="200" w:before="0" w:line="312"/>
        <w:ind w:firstLine="360"/>
        <w:jc w:val="left"/>
      </w:pPr>
      <w:r>
        <w:rPr>
          <w:rFonts w:ascii="Georgia" w:cs="Georgia" w:eastAsia="Georgia" w:hAnsi="Georgia"/>
          <w:sz w:val="24"/>
          <w:szCs w:val="24"/>
        </w:rPr>
        <w:t xml:space="preserve">I would welcome the opportunity to discuss this further, to provide access to the full corpus, and to answer any questions with the transparency and rigor this work deserves.</w:t>
      </w:r>
    </w:p>
    <w:p>
      <w:pPr>
        <w:spacing w:before="600"/>
      </w:pPr>
    </w:p>
    <w:p>
      <w:pPr>
        <w:spacing w:after="200" w:before="0" w:line="312"/>
        <w:jc w:val="left"/>
      </w:pPr>
      <w:r>
        <w:rPr>
          <w:rFonts w:ascii="Georgia" w:cs="Georgia" w:eastAsia="Georgia" w:hAnsi="Georgia"/>
          <w:sz w:val="24"/>
          <w:szCs w:val="24"/>
        </w:rPr>
        <w:t xml:space="preserve">With respect and genuine hope,</w:t>
      </w:r>
    </w:p>
    <w:p>
      <w:pPr>
        <w:spacing w:before="200"/>
      </w:pPr>
    </w:p>
    <w:p>
      <w:pPr>
        <w:spacing w:after="200" w:before="0" w:line="312"/>
        <w:jc w:val="left"/>
      </w:pPr>
      <w:r>
        <w:rPr>
          <w:rFonts w:ascii="Georgia" w:cs="Georgia" w:eastAsia="Georgia" w:hAnsi="Georgia"/>
          <w:sz w:val="24"/>
          <w:szCs w:val="24"/>
        </w:rPr>
        <w:t xml:space="preserve">Peter Higgins</w:t>
      </w:r>
    </w:p>
    <w:p>
      <w:pPr>
        <w:spacing w:after="200" w:before="0" w:line="312"/>
        <w:jc w:val="left"/>
      </w:pPr>
      <w:r>
        <w:rPr>
          <w:rFonts w:ascii="Georgia" w:cs="Georgia" w:eastAsia="Georgia" w:hAnsi="Georgia"/>
          <w:i/>
          <w:iCs/>
          <w:sz w:val="24"/>
          <w:szCs w:val="24"/>
        </w:rPr>
        <w:t xml:space="preserve">Rogue Wave Audio</w:t>
      </w:r>
    </w:p>
    <w:p>
      <w:pPr>
        <w:spacing w:after="200" w:before="0" w:line="312"/>
        <w:jc w:val="left"/>
      </w:pPr>
      <w:r>
        <w:rPr>
          <w:rFonts w:ascii="Georgia" w:cs="Georgia" w:eastAsia="Georgia" w:hAnsi="Georgia"/>
          <w:i/>
          <w:iCs/>
          <w:sz w:val="24"/>
          <w:szCs w:val="24"/>
        </w:rPr>
        <w:t xml:space="preserve">Markham, Ontario, Canada</w:t>
      </w:r>
    </w:p>
    <w:p>
      <w:pPr>
        <w:spacing w:after="200" w:before="0" w:line="312"/>
        <w:jc w:val="left"/>
      </w:pPr>
      <w:r>
        <w:rPr>
          <w:rFonts w:ascii="Georgia" w:cs="Georgia" w:eastAsia="Georgia" w:hAnsi="Georgia"/>
          <w:i/>
          <w:iCs/>
          <w:sz w:val="24"/>
          <w:szCs w:val="24"/>
        </w:rPr>
        <w:t xml:space="preserve">peterhiggins2016@gmail.com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Letter to Dr. Jordan B. Peterson — v5.3</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i/>
        <w:iCs/>
        <w:color w:val="888888"/>
        <w:sz w:val="18"/>
        <w:szCs w:val="18"/>
      </w:rPr>
      <w:t xml:space="preserve">CONFIDENTIAL DRAFT</w:t>
    </w:r>
    <w:r>
      <w:rPr>
        <w:rFonts w:ascii="Arial" w:cs="Arial" w:eastAsia="Arial" w:hAnsi="Arial"/>
        <w:color w:val="888888"/>
        <w:sz w:val="18"/>
        <w:szCs w:val="18"/>
      </w:rPr>
      <w:t xml:space="preserve">	Peter Higgins — Rogue Wave Audio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2"/>
      <w:szCs w:val="32"/>
    </w:rPr>
  </w:style>
  <w:style w:type="paragraph" w:styleId="Heading2">
    <w:name w:val="Heading 2"/>
    <w:basedOn w:val="Normal"/>
    <w:next w:val="Normal"/>
    <w:qFormat/>
    <w:pPr>
      <w:spacing w:before="300" w:after="180"/>
      <w:outlineLvl w:val="1"/>
    </w:pPr>
    <w:rPr>
      <w:rFonts w:ascii="Georgia" w:cs="Georgia" w:eastAsia="Georgia" w:hAnsi="Georgia"/>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2026-03-27T14:52:02.685Z</dcterms:created>
  <dcterms:modified xsi:type="dcterms:W3CDTF">2026-03-27T14:52:02.685Z</dcterms:modified>
</cp:coreProperties>
</file>

<file path=docProps/custom.xml><?xml version="1.0" encoding="utf-8"?>
<Properties xmlns="http://schemas.openxmlformats.org/officeDocument/2006/custom-properties" xmlns:vt="http://schemas.openxmlformats.org/officeDocument/2006/docPropsVTypes"/>
</file>