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100"/>
        <w:jc w:val="center"/>
      </w:pPr>
      <w:r>
        <w:rPr>
          <w:rFonts w:ascii="Georgia" w:cs="Georgia" w:eastAsia="Georgia" w:hAnsi="Georgia"/>
          <w:b/>
          <w:bCs/>
          <w:color w:val="1A1A2E"/>
          <w:sz w:val="52"/>
          <w:szCs w:val="52"/>
        </w:rPr>
        <w:t xml:space="preserve">THE MISSING QUARTER</w:t>
      </w:r>
    </w:p>
    <w:p>
      <w:pPr>
        <w:spacing w:after="100"/>
        <w:jc w:val="center"/>
      </w:pPr>
      <w:r>
        <w:rPr>
          <w:rFonts w:ascii="Georgia" w:cs="Georgia" w:eastAsia="Georgia" w:hAnsi="Georgia"/>
          <w:color w:val="444444"/>
          <w:sz w:val="28"/>
          <w:szCs w:val="28"/>
        </w:rPr>
        <w:t xml:space="preserve">Composition as a Fourth Category</w:t>
      </w:r>
    </w:p>
    <w:p>
      <w:pPr>
        <w:spacing w:after="400"/>
        <w:jc w:val="center"/>
      </w:pPr>
      <w:r>
        <w:rPr>
          <w:rFonts w:ascii="Georgia" w:cs="Georgia" w:eastAsia="Georgia" w:hAnsi="Georgia"/>
          <w:color w:val="444444"/>
          <w:sz w:val="28"/>
          <w:szCs w:val="28"/>
        </w:rPr>
        <w:t xml:space="preserve">of System Monitoring</w:t>
      </w:r>
    </w:p>
    <w:p>
      <w:pPr>
        <w:spacing w:after="100"/>
        <w:jc w:val="center"/>
      </w:pPr>
      <w:r>
        <w:rPr>
          <w:rFonts w:ascii="Georgia" w:cs="Georgia" w:eastAsia="Georgia" w:hAnsi="Georgia"/>
          <w:i/>
          <w:iCs/>
          <w:color w:val="666666"/>
          <w:sz w:val="24"/>
          <w:szCs w:val="24"/>
        </w:rPr>
        <w:t xml:space="preserve">A Letter to Dr. Jordan B. Peterson</w:t>
      </w:r>
    </w:p>
    <w:p>
      <w:pPr>
        <w:spacing w:after="600"/>
        <w:jc w:val="center"/>
      </w:pPr>
      <w:r>
        <w:rPr>
          <w:rFonts w:ascii="Georgia" w:cs="Georgia" w:eastAsia="Georgia" w:hAnsi="Georgia"/>
          <w:color w:val="666666"/>
          <w:sz w:val="22"/>
          <w:szCs w:val="22"/>
        </w:rPr>
        <w:t xml:space="preserve">Peter Higgins</w:t>
      </w:r>
    </w:p>
    <w:p>
      <w:pPr>
        <w:spacing w:after="200"/>
        <w:jc w:val="center"/>
      </w:pPr>
      <w:r>
        <w:rPr>
          <w:rFonts w:ascii="Georgia" w:cs="Georgia" w:eastAsia="Georgia" w:hAnsi="Georgia"/>
          <w:color w:val="888888"/>
          <w:sz w:val="22"/>
          <w:szCs w:val="22"/>
        </w:rPr>
        <w:t xml:space="preserve">March 2026</w:t>
      </w:r>
    </w:p>
    <w:p>
      <w:r>
        <w:br w:type="page"/>
      </w:r>
    </w:p>
    <w:p>
      <w:pPr>
        <w:pStyle w:val="Heading1"/>
        <w:spacing w:before="360" w:after="200"/>
        <w:jc w:val="left"/>
      </w:pPr>
      <w:r>
        <w:rPr>
          <w:rFonts w:ascii="Georgia" w:cs="Georgia" w:eastAsia="Georgia" w:hAnsi="Georgia"/>
          <w:b/>
          <w:bCs/>
          <w:color w:val="1A1A2E"/>
          <w:sz w:val="32"/>
          <w:szCs w:val="32"/>
        </w:rPr>
        <w:t xml:space="preserve">I. Why I Am Writing to You</w:t>
      </w:r>
    </w:p>
    <w:p>
      <w:pPr>
        <w:spacing w:after="200" w:before="0" w:line="312"/>
        <w:jc w:val="left"/>
      </w:pPr>
      <w:r>
        <w:rPr>
          <w:rFonts w:ascii="Georgia" w:cs="Georgia" w:eastAsia="Georgia" w:hAnsi="Georgia"/>
          <w:sz w:val="24"/>
          <w:szCs w:val="24"/>
        </w:rPr>
        <w:t xml:space="preserve">Dr. Peterson,</w:t>
      </w:r>
    </w:p>
    <w:p>
      <w:pPr>
        <w:spacing w:after="200" w:before="0" w:line="312"/>
        <w:ind w:firstLine="360"/>
        <w:jc w:val="left"/>
      </w:pPr>
      <w:r>
        <w:rPr>
          <w:rFonts w:ascii="Georgia" w:cs="Georgia" w:eastAsia="Georgia" w:hAnsi="Georgia"/>
          <w:sz w:val="24"/>
          <w:szCs w:val="24"/>
        </w:rPr>
        <w:t xml:space="preserve">I watched your lecture on a general theory of meaning, and I recognized something in it. Not a metaphor. A structural correspondence. Your description of perception as compression — the reduction of infinite environmental complexity to actionable structure — maps precisely onto a mathematical framework I have spent five months building. Your articulation of hierarchies of value as nested structures that maintain internal balance maps onto it. Your work on the boundary between explored and unexplored territory maps onto it. Fourteen independent correspondences between your published positions and this framework have been documented. I am writing because that convergence is either coincidence or evidence, and I believe you are the right person to determine which.</w:t>
      </w:r>
    </w:p>
    <w:p>
      <w:pPr>
        <w:spacing w:after="200" w:before="0" w:line="312"/>
        <w:ind w:firstLine="360"/>
        <w:jc w:val="left"/>
      </w:pPr>
      <w:r>
        <w:rPr>
          <w:rFonts w:ascii="Georgia" w:cs="Georgia" w:eastAsia="Georgia" w:hAnsi="Georgia"/>
          <w:sz w:val="24"/>
          <w:szCs w:val="24"/>
        </w:rPr>
        <w:t xml:space="preserve">My career has been thirty-four years as a field engineer for automated industrial systems — X-ray inspection, robotic placement, wave solder, automated optical inspection — across the Canadian electronics manufacturing industry. In Montreal, at a major telecommunications facility, a colleague entered a live placement machine without proper lockout. The machine was not secured. He survived because a shear bolt, engineered as a sacrificial failure point, broke at exactly the right location and tripped a safety sensor. I was called in to investigate. I restored confidence in the workforce by showing both sides: a reckless mistake was made, but the machine’s safety design also worked exactly as intended. By teaching the operators to respect both the power and the engineering that governed it, they returned to work with better adherence to safety procedure. No further incident occurred. That is what I do — I stand between complex systems and the people who operate them, and I make the relationship work.</w:t>
      </w:r>
    </w:p>
    <w:p>
      <w:pPr>
        <w:spacing w:after="200" w:before="0" w:line="312"/>
        <w:ind w:firstLine="360"/>
        <w:jc w:val="left"/>
      </w:pPr>
      <w:r>
        <w:rPr>
          <w:rFonts w:ascii="Georgia" w:cs="Georgia" w:eastAsia="Georgia" w:hAnsi="Georgia"/>
          <w:sz w:val="24"/>
          <w:szCs w:val="24"/>
        </w:rPr>
        <w:t xml:space="preserve">Through my company, Rogue Wave Audio, I have spent twenty-five years designing loudspeaker crossover networks — the circuits that divide a full-range audio signal into frequency bands and route each band to the correct driver. A crossover is a energy management system: the total power budget is fixed, and every watt routed to one driver is a watt not available to another. The energy budget must balance. It is quantifiable wave analysis applied to a real physical control system, and it is the domain where I developed the research methodology that led directly to this framework. When I normalized the power distribution across my crossover bands — compressed each driver’s output to a ratio of the total, so that all ratios summed to one — the resulting structure exhibited forward-looking behaviour. Internal concentration changes appeared before the total system output moved. The shape was changing in a dimension I had not been monitoring, and that change carried information about what the system was about to do.</w:t>
      </w:r>
    </w:p>
    <w:p>
      <w:r>
        <w:br w:type="page"/>
      </w:r>
    </w:p>
    <w:p>
      <w:pPr>
        <w:pStyle w:val="Heading1"/>
        <w:spacing w:before="360" w:after="200"/>
        <w:jc w:val="left"/>
      </w:pPr>
      <w:r>
        <w:rPr>
          <w:rFonts w:ascii="Georgia" w:cs="Georgia" w:eastAsia="Georgia" w:hAnsi="Georgia"/>
          <w:b/>
          <w:bCs/>
          <w:color w:val="1A1A2E"/>
          <w:sz w:val="32"/>
          <w:szCs w:val="32"/>
        </w:rPr>
        <w:t xml:space="preserve">II. The Mathematics Is Not New</w:t>
      </w:r>
    </w:p>
    <w:p>
      <w:pPr>
        <w:spacing w:after="200" w:before="0" w:line="312"/>
        <w:ind w:firstLine="360"/>
        <w:jc w:val="left"/>
      </w:pPr>
      <w:r>
        <w:rPr>
          <w:rFonts w:ascii="Georgia" w:cs="Georgia" w:eastAsia="Georgia" w:hAnsi="Georgia"/>
          <w:sz w:val="24"/>
          <w:szCs w:val="24"/>
        </w:rPr>
        <w:t xml:space="preserve">I want to be precise about what is new here and what is not, because this distinction determines whether what follows deserves your time.</w:t>
      </w:r>
    </w:p>
    <w:p>
      <w:pPr>
        <w:spacing w:after="200" w:before="0" w:line="312"/>
        <w:ind w:firstLine="360"/>
        <w:jc w:val="left"/>
      </w:pPr>
      <w:r>
        <w:rPr>
          <w:rFonts w:ascii="Georgia" w:cs="Georgia" w:eastAsia="Georgia" w:hAnsi="Georgia"/>
          <w:sz w:val="24"/>
          <w:szCs w:val="24"/>
        </w:rPr>
        <w:t xml:space="preserve">The mathematics of compositional data — data representing proportions of a whole that sum to a fixed constant — was formalized by John Aitchison at the University of Glasgow in 1982, published in the Journal of the Royal Statistical Society. He established the simplex as the sample space, introduced the logratio transformations for handling the closure constraint, and founded an entire discipline: Compositional Data Analysis, with forty years of peer-reviewed literature across geosciences, ecology, genomics, and economics.</w:t>
      </w:r>
    </w:p>
    <w:p>
      <w:pPr>
        <w:spacing w:after="200" w:before="0" w:line="312"/>
        <w:ind w:firstLine="360"/>
        <w:jc w:val="left"/>
      </w:pPr>
      <w:r>
        <w:rPr>
          <w:rFonts w:ascii="Georgia" w:cs="Georgia" w:eastAsia="Georgia" w:hAnsi="Georgia"/>
          <w:sz w:val="24"/>
          <w:szCs w:val="24"/>
        </w:rPr>
        <w:t xml:space="preserve">The measurement taxonomy was formalized even earlier by Stanley Smith Stevens at Harvard in 1946. Stevens established four scales of measurement: Nominal, Ordinal, Interval, and Ratio. This taxonomy remains the backbone of measurement theory eighty years later.</w:t>
      </w:r>
    </w:p>
    <w:p>
      <w:pPr>
        <w:spacing w:after="200" w:before="0" w:line="312"/>
        <w:ind w:firstLine="360"/>
        <w:jc w:val="left"/>
      </w:pPr>
      <w:r>
        <w:rPr>
          <w:rFonts w:ascii="Georgia" w:cs="Georgia" w:eastAsia="Georgia" w:hAnsi="Georgia"/>
          <w:sz w:val="24"/>
          <w:szCs w:val="24"/>
        </w:rPr>
        <w:t xml:space="preserve">Here is what none of the existing frameworks does: none of them treats compositional structure as a primary monitoring category. Stevens describes what kind of number you are holding but does not tell you what to look for. Aitchison provides the mathematics for handling compositional data but frames it as a statistical correction, not as a monitoring observable. The WHO, OECD, and UN monitoring frameworks track magnitudes, thresholds, trends, and outcomes — but none monitors the internal proportional structure of the systems they oversee.</w:t>
      </w:r>
    </w:p>
    <w:p>
      <w:pPr>
        <w:spacing w:after="200" w:before="0" w:line="312"/>
        <w:ind w:firstLine="360"/>
        <w:jc w:val="left"/>
      </w:pPr>
      <w:r>
        <w:rPr>
          <w:rFonts w:ascii="Georgia" w:cs="Georgia" w:eastAsia="Georgia" w:hAnsi="Georgia"/>
          <w:sz w:val="24"/>
          <w:szCs w:val="24"/>
        </w:rPr>
        <w:t xml:space="preserve">The gap is not in the mathematics. The mathematics has been established since 1982. The gap is in the application. I did not invent the simplex or the unity constraint or the logratio transformations. I applied established mathematics as a monitoring instrument, pointed it at real-world systems, and observed that structural composition changes carry lead-time information that magnitude-based monitoring cannot access. The mathematics is not new. The application is.</w:t>
      </w:r>
    </w:p>
    <w:p>
      <w:r>
        <w:br w:type="page"/>
      </w:r>
    </w:p>
    <w:p>
      <w:pPr>
        <w:pStyle w:val="Heading1"/>
        <w:spacing w:before="360" w:after="200"/>
        <w:jc w:val="left"/>
      </w:pPr>
      <w:r>
        <w:rPr>
          <w:rFonts w:ascii="Georgia" w:cs="Georgia" w:eastAsia="Georgia" w:hAnsi="Georgia"/>
          <w:b/>
          <w:bCs/>
          <w:color w:val="1A1A2E"/>
          <w:sz w:val="32"/>
          <w:szCs w:val="32"/>
        </w:rPr>
        <w:t xml:space="preserve">III. The Missing Quarter</w:t>
      </w:r>
    </w:p>
    <w:p>
      <w:pPr>
        <w:spacing w:after="200" w:before="0" w:line="312"/>
        <w:ind w:firstLine="360"/>
        <w:jc w:val="left"/>
      </w:pPr>
      <w:r>
        <w:rPr>
          <w:rFonts w:ascii="Georgia" w:cs="Georgia" w:eastAsia="Georgia" w:hAnsi="Georgia"/>
          <w:sz w:val="24"/>
          <w:szCs w:val="24"/>
        </w:rPr>
        <w:t xml:space="preserve">Most institutions monitor the systems they are responsible for using three categories of information. These three categories are so ubiquitous that they are rarely named, much less questioned.</w:t>
      </w:r>
    </w:p>
    <w:p>
      <w:pPr>
        <w:spacing w:after="200" w:before="0" w:line="312"/>
        <w:jc w:val="left"/>
      </w:pPr>
      <w:r>
        <w:rPr>
          <w:rFonts w:ascii="Georgia" w:cs="Georgia" w:eastAsia="Georgia" w:hAnsi="Georgia"/>
          <w:b/>
          <w:bCs/>
          <w:sz w:val="24"/>
          <w:szCs w:val="24"/>
        </w:rPr>
        <w:t xml:space="preserve">Magnitude </w:t>
      </w:r>
      <w:r>
        <w:rPr>
          <w:rFonts w:ascii="Georgia" w:cs="Georgia" w:eastAsia="Georgia" w:hAnsi="Georgia"/>
          <w:sz w:val="24"/>
          <w:szCs w:val="24"/>
        </w:rPr>
        <w:t xml:space="preserve">tells you how much. </w:t>
      </w:r>
      <w:r>
        <w:rPr>
          <w:rFonts w:ascii="Georgia" w:cs="Georgia" w:eastAsia="Georgia" w:hAnsi="Georgia"/>
          <w:b/>
          <w:bCs/>
          <w:sz w:val="24"/>
          <w:szCs w:val="24"/>
        </w:rPr>
        <w:t xml:space="preserve">Identity </w:t>
      </w:r>
      <w:r>
        <w:rPr>
          <w:rFonts w:ascii="Georgia" w:cs="Georgia" w:eastAsia="Georgia" w:hAnsi="Georgia"/>
          <w:sz w:val="24"/>
          <w:szCs w:val="24"/>
        </w:rPr>
        <w:t xml:space="preserve">tells you which. </w:t>
      </w:r>
      <w:r>
        <w:rPr>
          <w:rFonts w:ascii="Georgia" w:cs="Georgia" w:eastAsia="Georgia" w:hAnsi="Georgia"/>
          <w:b/>
          <w:bCs/>
          <w:sz w:val="24"/>
          <w:szCs w:val="24"/>
        </w:rPr>
        <w:t xml:space="preserve">Trend </w:t>
      </w:r>
      <w:r>
        <w:rPr>
          <w:rFonts w:ascii="Georgia" w:cs="Georgia" w:eastAsia="Georgia" w:hAnsi="Georgia"/>
          <w:sz w:val="24"/>
          <w:szCs w:val="24"/>
        </w:rPr>
        <w:t xml:space="preserve">tells you the direction. Together they represent three-quarters of the observable information about any complex system. The fourth quarter — </w:t>
      </w:r>
      <w:r>
        <w:rPr>
          <w:rFonts w:ascii="Georgia" w:cs="Georgia" w:eastAsia="Georgia" w:hAnsi="Georgia"/>
          <w:b/>
          <w:bCs/>
          <w:sz w:val="24"/>
          <w:szCs w:val="24"/>
        </w:rPr>
        <w:t xml:space="preserve">Composition</w:t>
      </w:r>
      <w:r>
        <w:rPr>
          <w:rFonts w:ascii="Georgia" w:cs="Georgia" w:eastAsia="Georgia" w:hAnsi="Georgia"/>
          <w:sz w:val="24"/>
          <w:szCs w:val="24"/>
        </w:rPr>
        <w:t xml:space="preserve"> — has been diagnostically invisible. Not because it is hidden, but because the instrument to read it did not exist in standard practice.</w:t>
      </w:r>
    </w:p>
    <w:p>
      <w:pPr>
        <w:spacing w:after="200" w:before="0" w:line="312"/>
        <w:ind w:firstLine="360"/>
        <w:jc w:val="left"/>
      </w:pPr>
      <w:r>
        <w:rPr>
          <w:rFonts w:ascii="Georgia" w:cs="Georgia" w:eastAsia="Georgia" w:hAnsi="Georgia"/>
          <w:sz w:val="24"/>
          <w:szCs w:val="24"/>
        </w:rPr>
        <w:t xml:space="preserve">Composition asks: regardless of total volume, how are the internal parts arranged relative to each other? When you compress any system of N elements so that all proportions sum to one, every movement becomes a zero-sum exchange. This is not imposed from outside; it is a mathematical consequence of the simplest possible structural question. And it reveals a dimension of system behaviour that the first three categories cannot access.</w:t>
      </w:r>
    </w:p>
    <w:p>
      <w:pPr>
        <w:spacing w:after="200" w:before="0" w:line="312"/>
        <w:ind w:firstLine="360"/>
        <w:jc w:val="left"/>
      </w:pPr>
      <w:r>
        <w:rPr>
          <w:rFonts w:ascii="Georgia" w:cs="Georgia" w:eastAsia="Georgia" w:hAnsi="Georgia"/>
          <w:sz w:val="24"/>
          <w:szCs w:val="24"/>
        </w:rPr>
        <w:t xml:space="preserve">The reason this matters is that structural composition changes before magnitude changes. I call this phenomenon deceptive drift: the internal concentration of a system hollows out behind a calm surface. By the time the total output visibly declines, the structural rotation has been underway for years. The analogy is a three-dimensional object casting a two-dimensional shadow. If the object rotates in place, the shadow’s area may not change while its shape shifts dramatically. The rotation is happening in a dimension the shadow cannot represent.</w:t>
      </w:r>
    </w:p>
    <w:p>
      <w:pPr>
        <w:spacing w:after="200" w:before="0" w:line="312"/>
        <w:ind w:firstLine="360"/>
        <w:jc w:val="left"/>
      </w:pPr>
      <w:r>
        <w:rPr>
          <w:rFonts w:ascii="Georgia" w:cs="Georgia" w:eastAsia="Georgia" w:hAnsi="Georgia"/>
          <w:sz w:val="24"/>
          <w:szCs w:val="24"/>
        </w:rPr>
        <w:t xml:space="preserve">We have tested this across three independent real-world domains:</w:t>
      </w:r>
    </w:p>
    <w:p>
      <w:pPr>
        <w:spacing w:after="200" w:before="0" w:line="312"/>
        <w:jc w:val="left"/>
      </w:pPr>
      <w:r>
        <w:rPr>
          <w:rFonts w:ascii="Georgia" w:cs="Georgia" w:eastAsia="Georgia" w:hAnsi="Georgia"/>
          <w:b/>
          <w:bCs/>
          <w:sz w:val="24"/>
          <w:szCs w:val="24"/>
        </w:rPr>
        <w:t xml:space="preserve">Electricity generation (EMBER dataset): </w:t>
      </w:r>
      <w:r>
        <w:rPr>
          <w:rFonts w:ascii="Georgia" w:cs="Georgia" w:eastAsia="Georgia" w:hAnsi="Georgia"/>
          <w:sz w:val="24"/>
          <w:szCs w:val="24"/>
        </w:rPr>
        <w:t xml:space="preserve">Germany’s energy transition shows statistically significant structural concentration (p = 0.0016) behind stable total generation figures. The fuel mix was hollowing out years before output indicators reflected the shift.</w:t>
      </w:r>
    </w:p>
    <w:p>
      <w:pPr>
        <w:spacing w:after="200" w:before="0" w:line="312"/>
        <w:jc w:val="left"/>
      </w:pPr>
      <w:r>
        <w:rPr>
          <w:rFonts w:ascii="Georgia" w:cs="Georgia" w:eastAsia="Georgia" w:hAnsi="Georgia"/>
          <w:b/>
          <w:bCs/>
          <w:sz w:val="24"/>
          <w:szCs w:val="24"/>
        </w:rPr>
        <w:t xml:space="preserve">GDP composition (World Bank): </w:t>
      </w:r>
      <w:r>
        <w:rPr>
          <w:rFonts w:ascii="Georgia" w:cs="Georgia" w:eastAsia="Georgia" w:hAnsi="Georgia"/>
          <w:sz w:val="24"/>
          <w:szCs w:val="24"/>
        </w:rPr>
        <w:t xml:space="preserve">Japan’s sectoral balance shows deceptive drift at p = 0.0098. China’s at p = 0.0196. Headline GDP remained stable while internal structural concentration was measurably increasing.</w:t>
      </w:r>
    </w:p>
    <w:p>
      <w:pPr>
        <w:spacing w:after="200" w:before="0" w:line="312"/>
        <w:jc w:val="left"/>
      </w:pPr>
      <w:r>
        <w:rPr>
          <w:rFonts w:ascii="Georgia" w:cs="Georgia" w:eastAsia="Georgia" w:hAnsi="Georgia"/>
          <w:b/>
          <w:bCs/>
          <w:sz w:val="24"/>
          <w:szCs w:val="24"/>
        </w:rPr>
        <w:t xml:space="preserve">Ecosystem monitoring (Ramsar template): </w:t>
      </w:r>
      <w:r>
        <w:rPr>
          <w:rFonts w:ascii="Georgia" w:cs="Georgia" w:eastAsia="Georgia" w:hAnsi="Georgia"/>
          <w:sz w:val="24"/>
          <w:szCs w:val="24"/>
        </w:rPr>
        <w:t xml:space="preserve">Applied to wetland habitat composition — the ratio of open water, marsh, forest, and grassland within a site boundary — the framework reveals structural thinning of habitat diversity behind stable total-area figures. A wetland can maintain its hectare count while internally becoming a monoculture.</w:t>
      </w:r>
    </w:p>
    <w:p>
      <w:pPr>
        <w:spacing w:after="200" w:before="0" w:line="312"/>
        <w:ind w:firstLine="360"/>
        <w:jc w:val="left"/>
      </w:pPr>
      <w:r>
        <w:rPr>
          <w:rFonts w:ascii="Georgia" w:cs="Georgia" w:eastAsia="Georgia" w:hAnsi="Georgia"/>
          <w:sz w:val="24"/>
          <w:szCs w:val="24"/>
        </w:rPr>
        <w:t xml:space="preserve">The statistical significance has been confirmed across scales ranging from 10 to 10 million elements, in 35 million independent tests. Zero violations of scale invariance were observed, exceeding 5.23 sigma. The framework does not have a ceiling. The simplex does not care how many elements it contains or what domain they belong to — it cares only that they sum to one.</w:t>
      </w:r>
    </w:p>
    <w:p>
      <w:r>
        <w:br w:type="page"/>
      </w:r>
    </w:p>
    <w:p>
      <w:pPr>
        <w:pStyle w:val="Heading1"/>
        <w:spacing w:before="360" w:after="200"/>
        <w:jc w:val="left"/>
      </w:pPr>
      <w:r>
        <w:rPr>
          <w:rFonts w:ascii="Georgia" w:cs="Georgia" w:eastAsia="Georgia" w:hAnsi="Georgia"/>
          <w:b/>
          <w:bCs/>
          <w:color w:val="1A1A2E"/>
          <w:sz w:val="32"/>
          <w:szCs w:val="32"/>
        </w:rPr>
        <w:t xml:space="preserve">IV. The Instrument Reads. The Human Decides.</w:t>
      </w:r>
    </w:p>
    <w:p>
      <w:pPr>
        <w:spacing w:after="200" w:before="0" w:line="312"/>
        <w:ind w:firstLine="360"/>
        <w:jc w:val="left"/>
      </w:pPr>
      <w:r>
        <w:rPr>
          <w:rFonts w:ascii="Georgia" w:cs="Georgia" w:eastAsia="Georgia" w:hAnsi="Georgia"/>
          <w:sz w:val="24"/>
          <w:szCs w:val="24"/>
        </w:rPr>
        <w:t xml:space="preserve">There is a principle I hold to with the rigidity of an engineer who has seen what happens when control loops close without understanding: the instrument reads, the human decides, the loop stays open.</w:t>
      </w:r>
    </w:p>
    <w:p>
      <w:pPr>
        <w:spacing w:after="200" w:before="0" w:line="312"/>
        <w:ind w:firstLine="360"/>
        <w:jc w:val="left"/>
      </w:pPr>
      <w:r>
        <w:rPr>
          <w:rFonts w:ascii="Georgia" w:cs="Georgia" w:eastAsia="Georgia" w:hAnsi="Georgia"/>
          <w:sz w:val="24"/>
          <w:szCs w:val="24"/>
        </w:rPr>
        <w:t xml:space="preserve">I call this the Skydiver Principle. An altimeter reads altitude. It does not pull the parachute cord. The skydiver sees the reading, processes it through training, experience, and judgment, and decides when to pull. If the altimeter pulled the cord automatically, we would call that a control system, and we would demand it be regulated, tested, and certified. We would be right to demand that.</w:t>
      </w:r>
    </w:p>
    <w:p>
      <w:pPr>
        <w:spacing w:after="200" w:before="0" w:line="312"/>
        <w:ind w:firstLine="360"/>
        <w:jc w:val="left"/>
      </w:pPr>
      <w:r>
        <w:rPr>
          <w:rFonts w:ascii="Georgia" w:cs="Georgia" w:eastAsia="Georgia" w:hAnsi="Georgia"/>
          <w:sz w:val="24"/>
          <w:szCs w:val="24"/>
        </w:rPr>
        <w:t xml:space="preserve">The framework I have built — the Higgins Unity Framework, HUF — exists in two forms. HUF-GOV is the open-loop composition monitoring instrument. It reads the ratio-state of any system, computes the structural metrics, and stops. It offers no recommendations. It takes no actions. HUF-CLS is the closed-loop system that could, in principle, feed the reading back to modify behaviour. Both are published under MIT license in the same repository. I made the decision to publish the closed-loop architecture openly because suppression is not governance — understanding is. If someone will close the loop, it is better that the architecture, the failure modes, and the governance principles are public knowledge than that they are reinvented without them.</w:t>
      </w:r>
    </w:p>
    <w:p>
      <w:pPr>
        <w:spacing w:after="200" w:before="0" w:line="312"/>
        <w:ind w:firstLine="360"/>
        <w:jc w:val="left"/>
      </w:pPr>
      <w:r>
        <w:rPr>
          <w:rFonts w:ascii="Georgia" w:cs="Georgia" w:eastAsia="Georgia" w:hAnsi="Georgia"/>
          <w:sz w:val="24"/>
          <w:szCs w:val="24"/>
        </w:rPr>
        <w:t xml:space="preserve">The separation between the instrument and the actuator remains an engineering requirement. A feedback loop that closes on a system it does not understand is not governance — it is a bomb. Thirty-four years of standing between industrial machinery and the people who operate it taught me that the path from instrument to weapon is shorter than most people imagine, and the difference between the two is never the machine. It is the governance layer: the training, the understanding, the deliberate human investment in knowing what the tool cuts before you turn it on.</w:t>
      </w:r>
    </w:p>
    <w:p>
      <w:pPr>
        <w:spacing w:after="200" w:before="0" w:line="312"/>
        <w:ind w:firstLine="360"/>
        <w:jc w:val="left"/>
      </w:pPr>
      <w:r>
        <w:rPr>
          <w:rFonts w:ascii="Georgia" w:cs="Georgia" w:eastAsia="Georgia" w:hAnsi="Georgia"/>
          <w:sz w:val="24"/>
          <w:szCs w:val="24"/>
        </w:rPr>
        <w:t xml:space="preserve">There is a corollary that I believe may be more important than the mathematics itself: it must cost us real work to use AI. Not money — real cognitive effort, real human engagement. If AI assistance is frictionless, the loop closes by default. The human is no longer reading the instrument; the instrument is pulling the cord. Every institution that adopts AI-driven analytics without requiring the operators to understand the output is closing the loop. The efficiency gain is real. The governance loss is invisible — until it is catastrophic. Maintaining the open loop is thermodynamically expensive. That expense is not a bug. It is the governance mechanism.</w:t>
      </w:r>
    </w:p>
    <w:p>
      <w:r>
        <w:br w:type="page"/>
      </w:r>
    </w:p>
    <w:p>
      <w:pPr>
        <w:pStyle w:val="Heading1"/>
        <w:spacing w:before="360" w:after="200"/>
        <w:jc w:val="left"/>
      </w:pPr>
      <w:r>
        <w:rPr>
          <w:rFonts w:ascii="Georgia" w:cs="Georgia" w:eastAsia="Georgia" w:hAnsi="Georgia"/>
          <w:b/>
          <w:bCs/>
          <w:color w:val="1A1A2E"/>
          <w:sz w:val="32"/>
          <w:szCs w:val="32"/>
        </w:rPr>
        <w:t xml:space="preserve">V. Where Your Work and This Framework Collide</w:t>
      </w:r>
    </w:p>
    <w:p>
      <w:pPr>
        <w:spacing w:after="200" w:before="0" w:line="312"/>
        <w:ind w:firstLine="360"/>
        <w:jc w:val="left"/>
      </w:pPr>
      <w:r>
        <w:rPr>
          <w:rFonts w:ascii="Georgia" w:cs="Georgia" w:eastAsia="Georgia" w:hAnsi="Georgia"/>
          <w:sz w:val="24"/>
          <w:szCs w:val="24"/>
        </w:rPr>
        <w:t xml:space="preserve">Your theory of meaning as hierarchical structure, your work on perception as compression, your articulation of the boundary between order and chaos — these are not adjacent to this framework. They map to it.</w:t>
      </w:r>
    </w:p>
    <w:p>
      <w:pPr>
        <w:spacing w:after="200" w:before="0" w:line="312"/>
        <w:ind w:firstLine="360"/>
        <w:jc w:val="left"/>
      </w:pPr>
      <w:r>
        <w:rPr>
          <w:rFonts w:ascii="Georgia" w:cs="Georgia" w:eastAsia="Georgia" w:hAnsi="Georgia"/>
          <w:sz w:val="24"/>
          <w:szCs w:val="24"/>
        </w:rPr>
        <w:t xml:space="preserve">Your observation that perception reduces infinite complexity to actionable structure is precisely what ratio-state normalization does to any complex system. The simplex constraint is a mathematical perception filter. It takes a system of arbitrary scale and compresses it to a bounded, navigable structure without discarding the relational information between parts.</w:t>
      </w:r>
    </w:p>
    <w:p>
      <w:pPr>
        <w:spacing w:after="200" w:before="0" w:line="312"/>
        <w:ind w:firstLine="360"/>
        <w:jc w:val="left"/>
      </w:pPr>
      <w:r>
        <w:rPr>
          <w:rFonts w:ascii="Georgia" w:cs="Georgia" w:eastAsia="Georgia" w:hAnsi="Georgia"/>
          <w:sz w:val="24"/>
          <w:szCs w:val="24"/>
        </w:rPr>
        <w:t xml:space="preserve">Your framework for explored and unexplored territory maps to the distinction between observed carriers and unobserved carriers. The boundary between the two is precisely where deceptive drift lives — the territory that looks explored because the total is stable, but which contains unexplored structural rotation.</w:t>
      </w:r>
    </w:p>
    <w:p>
      <w:pPr>
        <w:spacing w:after="200" w:before="0" w:line="312"/>
        <w:ind w:firstLine="360"/>
        <w:jc w:val="left"/>
      </w:pPr>
      <w:r>
        <w:rPr>
          <w:rFonts w:ascii="Georgia" w:cs="Georgia" w:eastAsia="Georgia" w:hAnsi="Georgia"/>
          <w:sz w:val="24"/>
          <w:szCs w:val="24"/>
        </w:rPr>
        <w:t xml:space="preserve">Your articulation of value hierarchies as nested structures maps to the nested carrier architecture of HUF, where sub-carriers within a domain exhibit the same sum-to-one dynamics as the domain itself. A value hierarchy that maintains internal proportional balance is, in the language of this framework, a structurally healthy carrier system. A value hierarchy that is collapsing internally while maintaining outward appearance is exhibiting deceptive drift.</w:t>
      </w:r>
    </w:p>
    <w:p>
      <w:pPr>
        <w:spacing w:after="200" w:before="0" w:line="312"/>
        <w:ind w:firstLine="360"/>
        <w:jc w:val="left"/>
      </w:pPr>
      <w:r>
        <w:rPr>
          <w:rFonts w:ascii="Georgia" w:cs="Georgia" w:eastAsia="Georgia" w:hAnsi="Georgia"/>
          <w:sz w:val="24"/>
          <w:szCs w:val="24"/>
        </w:rPr>
        <w:t xml:space="preserve">I do not know if these correspondences indicate that your theory and this framework describe the same underlying phenomenon from different vantage points, or if the mapping is superficial. I am not qualified to make that judgment. You are.</w:t>
      </w:r>
    </w:p>
    <w:p>
      <w:r>
        <w:br w:type="page"/>
      </w:r>
    </w:p>
    <w:p>
      <w:pPr>
        <w:pStyle w:val="Heading1"/>
        <w:spacing w:before="360" w:after="200"/>
        <w:jc w:val="left"/>
      </w:pPr>
      <w:r>
        <w:rPr>
          <w:rFonts w:ascii="Georgia" w:cs="Georgia" w:eastAsia="Georgia" w:hAnsi="Georgia"/>
          <w:b/>
          <w:bCs/>
          <w:color w:val="1A1A2E"/>
          <w:sz w:val="32"/>
          <w:szCs w:val="32"/>
        </w:rPr>
        <w:t xml:space="preserve">VI. What I Am Asking</w:t>
      </w:r>
    </w:p>
    <w:p>
      <w:pPr>
        <w:spacing w:after="200" w:before="0" w:line="312"/>
        <w:ind w:firstLine="360"/>
        <w:jc w:val="left"/>
      </w:pPr>
      <w:r>
        <w:rPr>
          <w:rFonts w:ascii="Georgia" w:cs="Georgia" w:eastAsia="Georgia" w:hAnsi="Georgia"/>
          <w:sz w:val="24"/>
          <w:szCs w:val="24"/>
        </w:rPr>
        <w:t xml:space="preserve">I am not asking you to endorse this framework. I am asking you to examine it.</w:t>
      </w:r>
    </w:p>
    <w:p>
      <w:pPr>
        <w:spacing w:after="200" w:before="0" w:line="312"/>
        <w:jc w:val="left"/>
      </w:pPr>
      <w:r>
        <w:rPr>
          <w:rFonts w:ascii="Georgia" w:cs="Georgia" w:eastAsia="Georgia" w:hAnsi="Georgia"/>
          <w:b/>
          <w:bCs/>
          <w:sz w:val="24"/>
          <w:szCs w:val="24"/>
        </w:rPr>
        <w:t xml:space="preserve">First: </w:t>
      </w:r>
      <w:r>
        <w:rPr>
          <w:rFonts w:ascii="Georgia" w:cs="Georgia" w:eastAsia="Georgia" w:hAnsi="Georgia"/>
          <w:sz w:val="24"/>
          <w:szCs w:val="24"/>
        </w:rPr>
        <w:t xml:space="preserve">Does the four-category taxonomy — Magnitude, Identity, Trend, and Composition — hold up under the scrutiny of someone who has spent a career studying the structure of perception and meaning? Is Composition genuinely a fourth category, or is it reducible to the other three?</w:t>
      </w:r>
    </w:p>
    <w:p>
      <w:pPr>
        <w:spacing w:after="200" w:before="0" w:line="312"/>
        <w:jc w:val="left"/>
      </w:pPr>
      <w:r>
        <w:rPr>
          <w:rFonts w:ascii="Georgia" w:cs="Georgia" w:eastAsia="Georgia" w:hAnsi="Georgia"/>
          <w:b/>
          <w:bCs/>
          <w:sz w:val="24"/>
          <w:szCs w:val="24"/>
        </w:rPr>
        <w:t xml:space="preserve">Second: </w:t>
      </w:r>
      <w:r>
        <w:rPr>
          <w:rFonts w:ascii="Georgia" w:cs="Georgia" w:eastAsia="Georgia" w:hAnsi="Georgia"/>
          <w:sz w:val="24"/>
          <w:szCs w:val="24"/>
        </w:rPr>
        <w:t xml:space="preserve">The cost doctrine — that maintaining an open loop requires real human work, and that the cost is itself the governance mechanism — operates at the scale of a student writing an essay and at the scale of a civilization deploying AI. Your work on responsibility, voluntary suffering, and the relationship between effort and meaning suggests you have thought about this from a different direction. I would value knowing whether the directions converge.</w:t>
      </w:r>
    </w:p>
    <w:p>
      <w:pPr>
        <w:spacing w:after="200" w:before="0" w:line="312"/>
        <w:jc w:val="left"/>
      </w:pPr>
      <w:r>
        <w:rPr>
          <w:rFonts w:ascii="Georgia" w:cs="Georgia" w:eastAsia="Georgia" w:hAnsi="Georgia"/>
          <w:b/>
          <w:bCs/>
          <w:sz w:val="24"/>
          <w:szCs w:val="24"/>
        </w:rPr>
        <w:t xml:space="preserve">Third: </w:t>
      </w:r>
      <w:r>
        <w:rPr>
          <w:rFonts w:ascii="Georgia" w:cs="Georgia" w:eastAsia="Georgia" w:hAnsi="Georgia"/>
          <w:sz w:val="24"/>
          <w:szCs w:val="24"/>
        </w:rPr>
        <w:t xml:space="preserve">The Ramsar Convention on Wetlands is the use case I have prepared as a first demonstration. Wetland habitat composition is a natural composition monitoring domain. The Ramsar Secretariat manages over 2,400 sites in 172 countries using magnitude-based metrics that do not monitor internal structural composition. If this framework is valid, Ramsar is the place to demonstrate it in a domain where the consequences of missed signals are ecological rather than financial. Would you be willing to help connect this work to the expert communities that can properly evaluate it?</w:t>
      </w:r>
    </w:p>
    <w:p>
      <w:r>
        <w:br w:type="page"/>
      </w:r>
    </w:p>
    <w:p>
      <w:pPr>
        <w:pStyle w:val="Heading1"/>
        <w:spacing w:before="360" w:after="200"/>
        <w:jc w:val="left"/>
      </w:pPr>
      <w:r>
        <w:rPr>
          <w:rFonts w:ascii="Georgia" w:cs="Georgia" w:eastAsia="Georgia" w:hAnsi="Georgia"/>
          <w:b/>
          <w:bCs/>
          <w:color w:val="1A1A2E"/>
          <w:sz w:val="32"/>
          <w:szCs w:val="32"/>
        </w:rPr>
        <w:t xml:space="preserve">VII. What Stands Behind This Letter</w:t>
      </w:r>
    </w:p>
    <w:p>
      <w:pPr>
        <w:spacing w:after="200" w:before="0" w:line="312"/>
        <w:ind w:firstLine="360"/>
        <w:jc w:val="left"/>
      </w:pPr>
      <w:r>
        <w:rPr>
          <w:rFonts w:ascii="Georgia" w:cs="Georgia" w:eastAsia="Georgia" w:hAnsi="Georgia"/>
          <w:sz w:val="24"/>
          <w:szCs w:val="24"/>
        </w:rPr>
        <w:t xml:space="preserve">This letter is the front door to a research corpus of over one hundred documents developed over five months of daily work with five AI systems — Claude, ChatGPT, Gemini, Copilot, and Grok — each contributing from their architectural strengths under my direction. The corpus includes formal mathematical specifications, domain-specific analyses with real-world data, statistical validations, governance architecture, and a complete kill-test document cataloguing nineteen documented failure modes. The moral complications of building a structural monitoring instrument of this scope have been considered, documented, and subjected to adversarial review by all five systems. I mention this not to impress but to establish that the work has been done with discipline, and that the questions you would rightly ask have been anticipated.</w:t>
      </w:r>
    </w:p>
    <w:p>
      <w:pPr>
        <w:spacing w:after="200" w:before="0" w:line="312"/>
        <w:ind w:firstLine="360"/>
        <w:jc w:val="left"/>
      </w:pPr>
      <w:r>
        <w:rPr>
          <w:rFonts w:ascii="Georgia" w:cs="Georgia" w:eastAsia="Georgia" w:hAnsi="Georgia"/>
          <w:sz w:val="24"/>
          <w:szCs w:val="24"/>
        </w:rPr>
        <w:t xml:space="preserve">The working method itself is a governance mechanism. I do not instruct AI systems to confirm my hypotheses. I suggest a direction and demand critical review — roughly fifty-one percent pressure to break the idea, forty-nine percent to build it. The ideas that survive five different AI architectures, each with different failure modes, attempting to destroy them are not proven. But they have earned the right to be examined by people qualified to judge.</w:t>
      </w:r>
    </w:p>
    <w:p>
      <w:pPr>
        <w:spacing w:after="200" w:before="0" w:line="312"/>
        <w:ind w:firstLine="360"/>
        <w:jc w:val="left"/>
      </w:pPr>
      <w:r>
        <w:rPr>
          <w:rFonts w:ascii="Georgia" w:cs="Georgia" w:eastAsia="Georgia" w:hAnsi="Georgia"/>
          <w:sz w:val="24"/>
          <w:szCs w:val="24"/>
        </w:rPr>
        <w:t xml:space="preserve">I am writing to a scholar of meaning, responsibility, and value structure because what I have found is not merely a monitoring instrument. It is a question about how much of the observable world we have been failing to observe, and what the consequences of that gap may be. If the framework is wrong, I would rather it be broken clearly by someone capable of seeing why. If it is right, it needs to be placed in the hands of people who understand what is at stake.</w:t>
      </w:r>
    </w:p>
    <w:p>
      <w:pPr>
        <w:spacing w:after="200" w:before="0" w:line="312"/>
        <w:ind w:firstLine="360"/>
        <w:jc w:val="left"/>
      </w:pPr>
      <w:r>
        <w:rPr>
          <w:rFonts w:ascii="Georgia" w:cs="Georgia" w:eastAsia="Georgia" w:hAnsi="Georgia"/>
          <w:sz w:val="24"/>
          <w:szCs w:val="24"/>
        </w:rPr>
        <w:t xml:space="preserve">I would welcome the opportunity to discuss this further and to provide access to the full corpus with the transparency and rigor this work deserves.</w:t>
      </w:r>
    </w:p>
    <w:p>
      <w:pPr>
        <w:spacing w:before="600"/>
      </w:pPr>
    </w:p>
    <w:p>
      <w:pPr>
        <w:spacing w:after="200" w:before="0" w:line="312"/>
        <w:jc w:val="left"/>
      </w:pPr>
      <w:r>
        <w:rPr>
          <w:rFonts w:ascii="Georgia" w:cs="Georgia" w:eastAsia="Georgia" w:hAnsi="Georgia"/>
          <w:sz w:val="24"/>
          <w:szCs w:val="24"/>
        </w:rPr>
        <w:t xml:space="preserve">With respect,</w:t>
      </w:r>
    </w:p>
    <w:p>
      <w:pPr>
        <w:spacing w:before="200"/>
      </w:pPr>
    </w:p>
    <w:p>
      <w:pPr>
        <w:spacing w:after="200" w:before="0" w:line="312"/>
        <w:jc w:val="left"/>
      </w:pPr>
      <w:r>
        <w:rPr>
          <w:rFonts w:ascii="Georgia" w:cs="Georgia" w:eastAsia="Georgia" w:hAnsi="Georgia"/>
          <w:sz w:val="24"/>
          <w:szCs w:val="24"/>
        </w:rPr>
        <w:t xml:space="preserve">Peter Higgins</w:t>
      </w:r>
    </w:p>
    <w:p>
      <w:pPr>
        <w:spacing w:after="200" w:before="0" w:line="312"/>
        <w:jc w:val="left"/>
      </w:pPr>
      <w:r>
        <w:rPr>
          <w:rFonts w:ascii="Georgia" w:cs="Georgia" w:eastAsia="Georgia" w:hAnsi="Georgia"/>
          <w:i/>
          <w:iCs/>
          <w:sz w:val="24"/>
          <w:szCs w:val="24"/>
        </w:rPr>
        <w:t xml:space="preserve">Rogue Wave Audio</w:t>
      </w:r>
    </w:p>
    <w:p>
      <w:pPr>
        <w:spacing w:after="200" w:before="0" w:line="312"/>
        <w:jc w:val="left"/>
      </w:pPr>
      <w:r>
        <w:rPr>
          <w:rFonts w:ascii="Georgia" w:cs="Georgia" w:eastAsia="Georgia" w:hAnsi="Georgia"/>
          <w:i/>
          <w:iCs/>
          <w:sz w:val="24"/>
          <w:szCs w:val="24"/>
        </w:rPr>
        <w:t xml:space="preserve">Markham, Ontario, Canada</w:t>
      </w:r>
    </w:p>
    <w:p>
      <w:pPr>
        <w:spacing w:after="200" w:before="0" w:line="312"/>
        <w:jc w:val="left"/>
      </w:pPr>
      <w:r>
        <w:rPr>
          <w:rFonts w:ascii="Georgia" w:cs="Georgia" w:eastAsia="Georgia" w:hAnsi="Georgia"/>
          <w:i/>
          <w:iCs/>
          <w:sz w:val="24"/>
          <w:szCs w:val="24"/>
        </w:rPr>
        <w:t xml:space="preserve">peterhiggins2016@gmail.com</w:t>
      </w:r>
    </w:p>
    <w:p>
      <w:pPr>
        <w:spacing w:before="400"/>
      </w:pPr>
    </w:p>
    <w:p>
      <w:pPr>
        <w:spacing w:after="200" w:before="0" w:line="312"/>
        <w:jc w:val="left"/>
      </w:pPr>
      <w:r>
        <w:rPr>
          <w:rFonts w:ascii="Georgia" w:cs="Georgia" w:eastAsia="Georgia" w:hAnsi="Georgia"/>
          <w:i/>
          <w:iCs/>
          <w:sz w:val="24"/>
          <w:szCs w:val="24"/>
        </w:rPr>
        <w:t xml:space="preserve">Full corpus: github.com/peterhiggins2016/HUF — MIT License. Start with huf-gov/governance/HANDOFF-001.docx (scientist handoff statement) or huf-gov/science/MONITOR-001.json (formal taxonomy).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Arial" w:cs="Arial" w:eastAsia="Arial" w:hAnsi="Arial"/>
        <w:color w:val="888888"/>
        <w:sz w:val="18"/>
        <w:szCs w:val="18"/>
      </w:rPr>
      <w:t xml:space="preserve">Letter to Dr. Jordan B. Peterson — v6.0</w:t>
    </w:r>
    <w:r>
      <w:rPr>
        <w:rFonts w:ascii="Arial" w:cs="Arial" w:eastAsia="Arial" w:hAnsi="Arial"/>
        <w:color w:val="888888"/>
        <w:sz w:val="18"/>
        <w:szCs w:val="18"/>
      </w:rPr>
      <w:t xml:space="preserve">	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026"/>
      </w:tabs>
    </w:pPr>
    <w:r>
      <w:rPr>
        <w:rFonts w:ascii="Arial" w:cs="Arial" w:eastAsia="Arial" w:hAnsi="Arial"/>
        <w:color w:val="888888"/>
        <w:sz w:val="18"/>
        <w:szCs w:val="18"/>
      </w:rPr>
      <w:t xml:space="preserve">Peter Higgins — Rogue Wave Audio</w:t>
    </w:r>
    <w:r>
      <w:rPr>
        <w:rFonts w:ascii="Arial" w:cs="Arial" w:eastAsia="Arial" w:hAnsi="Arial"/>
        <w:color w:val="888888"/>
        <w:sz w:val="18"/>
        <w:szCs w:val="18"/>
      </w:rPr>
      <w:t xml:space="preserve">	Markham, Ontario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Georgia" w:cs="Georgia" w:eastAsia="Georgia" w:hAnsi="Georgia"/>
      <w:b/>
      <w:bCs/>
      <w:color w:val="1A1A2E"/>
      <w:sz w:val="32"/>
      <w:szCs w:val="32"/>
    </w:rPr>
  </w:style>
  <w:style w:type="paragraph" w:styleId="Heading2">
    <w:name w:val="Heading 2"/>
    <w:basedOn w:val="Normal"/>
    <w:next w:val="Normal"/>
    <w:qFormat/>
    <w:pPr>
      <w:spacing w:before="300" w:after="180"/>
      <w:outlineLvl w:val="1"/>
    </w:pPr>
    <w:rPr>
      <w:rFonts w:ascii="Georgia" w:cs="Georgia" w:eastAsia="Georgia" w:hAnsi="Georgia"/>
      <w:b/>
      <w:bCs/>
      <w:color w:val="1A1A2E"/>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2026-03-29T11:04:03.594Z</dcterms:created>
  <dcterms:modified xsi:type="dcterms:W3CDTF">2026-03-29T11:04:03.594Z</dcterms:modified>
</cp:coreProperties>
</file>

<file path=docProps/custom.xml><?xml version="1.0" encoding="utf-8"?>
<Properties xmlns="http://schemas.openxmlformats.org/officeDocument/2006/custom-properties" xmlns:vt="http://schemas.openxmlformats.org/officeDocument/2006/docPropsVTypes"/>
</file>