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t xml:space="preserve">Submission to the Convention on Biological Diversity</w:t>
      </w:r>
    </w:p>
    <w:p>
      <w:pPr>
        <w:spacing w:after="160"/>
      </w:pPr>
      <w:r>
        <w:rPr>
          <w:b/>
          <w:bCs/>
        </w:rPr>
        <w:t xml:space="preserve">HUF Portfolio Share as a Kunming-Montreal GBF Governance Indicator</w:t>
      </w:r>
    </w:p>
    <w:p>
      <w:pPr>
        <w:spacing w:after="160"/>
      </w:pPr>
      <w:r>
        <w:rPr>
          <w:i/>
          <w:iCs/>
        </w:rPr>
        <w:t xml:space="preserve">Submission to CBD SBSTTA / COP16 indicator development process — presented by huf.org</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E8F0F4" w:val="clear"/>
            <w:tcMar>
              <w:top w:type="dxa" w:w="60"/>
              <w:left w:type="dxa" w:w="120"/>
              <w:bottom w:type="dxa" w:w="60"/>
              <w:right w:type="dxa" w:w="120"/>
            </w:tcMar>
          </w:tcPr>
          <w:p>
            <w:r>
              <w:rPr>
                <w:b/>
                <w:bCs/>
                <w:sz w:val="20"/>
                <w:szCs w:val="20"/>
              </w:rPr>
              <w:t xml:space="preserve">Submitted to</w:t>
            </w:r>
          </w:p>
        </w:tc>
        <w:tc>
          <w:tcPr>
            <w:tcW w:type="dxa" w:w="65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20"/>
                <w:szCs w:val="20"/>
              </w:rPr>
              <w:t xml:space="preserve">Secretariat of the Convention on Biological Diversity (CBD)</w:t>
            </w:r>
          </w:p>
        </w:tc>
      </w:tr>
      <w:tr>
        <w:tc>
          <w:tcPr>
            <w:tcW w:type="dxa" w:w="2800"/>
            <w:tcBorders>
              <w:top w:val="single" w:color="CCCCCC" w:sz="1"/>
              <w:left w:val="single" w:color="CCCCCC" w:sz="1"/>
              <w:bottom w:val="single" w:color="CCCCCC" w:sz="1"/>
              <w:right w:val="single" w:color="CCCCCC" w:sz="1"/>
            </w:tcBorders>
            <w:shd w:fill="E8F0F4" w:val="clear"/>
            <w:tcMar>
              <w:top w:type="dxa" w:w="60"/>
              <w:left w:type="dxa" w:w="120"/>
              <w:bottom w:type="dxa" w:w="60"/>
              <w:right w:type="dxa" w:w="120"/>
            </w:tcMar>
          </w:tcPr>
          <w:p>
            <w:r>
              <w:rPr>
                <w:b/>
                <w:bCs/>
                <w:sz w:val="20"/>
                <w:szCs w:val="20"/>
              </w:rPr>
              <w:t xml:space="preserve">Document type</w:t>
            </w:r>
          </w:p>
        </w:tc>
        <w:tc>
          <w:tcPr>
            <w:tcW w:type="dxa" w:w="65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20"/>
                <w:szCs w:val="20"/>
              </w:rPr>
              <w:t xml:space="preserve">Technical Submission — Indicator Development</w:t>
            </w:r>
          </w:p>
        </w:tc>
      </w:tr>
      <w:tr>
        <w:tc>
          <w:tcPr>
            <w:tcW w:type="dxa" w:w="2800"/>
            <w:tcBorders>
              <w:top w:val="single" w:color="CCCCCC" w:sz="1"/>
              <w:left w:val="single" w:color="CCCCCC" w:sz="1"/>
              <w:bottom w:val="single" w:color="CCCCCC" w:sz="1"/>
              <w:right w:val="single" w:color="CCCCCC" w:sz="1"/>
            </w:tcBorders>
            <w:shd w:fill="E8F0F4" w:val="clear"/>
            <w:tcMar>
              <w:top w:type="dxa" w:w="60"/>
              <w:left w:type="dxa" w:w="120"/>
              <w:bottom w:type="dxa" w:w="60"/>
              <w:right w:type="dxa" w:w="120"/>
            </w:tcMar>
          </w:tcPr>
          <w:p>
            <w:r>
              <w:rPr>
                <w:b/>
                <w:bCs/>
                <w:sz w:val="20"/>
                <w:szCs w:val="20"/>
              </w:rPr>
              <w:t xml:space="preserve">Reference</w:t>
            </w:r>
          </w:p>
        </w:tc>
        <w:tc>
          <w:tcPr>
            <w:tcW w:type="dxa" w:w="65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20"/>
                <w:szCs w:val="20"/>
              </w:rPr>
              <w:t xml:space="preserve">CBD SBSTTA 25 / COP16 — Kunming-Montreal GBF Indicator Framework</w:t>
            </w:r>
          </w:p>
        </w:tc>
      </w:tr>
      <w:tr>
        <w:tc>
          <w:tcPr>
            <w:tcW w:type="dxa" w:w="2800"/>
            <w:tcBorders>
              <w:top w:val="single" w:color="CCCCCC" w:sz="1"/>
              <w:left w:val="single" w:color="CCCCCC" w:sz="1"/>
              <w:bottom w:val="single" w:color="CCCCCC" w:sz="1"/>
              <w:right w:val="single" w:color="CCCCCC" w:sz="1"/>
            </w:tcBorders>
            <w:shd w:fill="E8F0F4" w:val="clear"/>
            <w:tcMar>
              <w:top w:type="dxa" w:w="60"/>
              <w:left w:type="dxa" w:w="120"/>
              <w:bottom w:type="dxa" w:w="60"/>
              <w:right w:type="dxa" w:w="120"/>
            </w:tcMar>
          </w:tcPr>
          <w:p>
            <w:r>
              <w:rPr>
                <w:b/>
                <w:bCs/>
                <w:sz w:val="20"/>
                <w:szCs w:val="20"/>
              </w:rPr>
              <w:t xml:space="preserve">Author</w:t>
            </w:r>
          </w:p>
        </w:tc>
        <w:tc>
          <w:tcPr>
            <w:tcW w:type="dxa" w:w="65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20"/>
                <w:szCs w:val="20"/>
              </w:rPr>
              <w:t xml:space="preserve">Peter Higgins</w:t>
            </w:r>
          </w:p>
        </w:tc>
      </w:tr>
      <w:tr>
        <w:tc>
          <w:tcPr>
            <w:tcW w:type="dxa" w:w="2800"/>
            <w:tcBorders>
              <w:top w:val="single" w:color="CCCCCC" w:sz="1"/>
              <w:left w:val="single" w:color="CCCCCC" w:sz="1"/>
              <w:bottom w:val="single" w:color="CCCCCC" w:sz="1"/>
              <w:right w:val="single" w:color="CCCCCC" w:sz="1"/>
            </w:tcBorders>
            <w:shd w:fill="E8F0F4" w:val="clear"/>
            <w:tcMar>
              <w:top w:type="dxa" w:w="60"/>
              <w:left w:type="dxa" w:w="120"/>
              <w:bottom w:type="dxa" w:w="60"/>
              <w:right w:type="dxa" w:w="120"/>
            </w:tcMar>
          </w:tcPr>
          <w:p>
            <w:r>
              <w:rPr>
                <w:b/>
                <w:bCs/>
                <w:sz w:val="20"/>
                <w:szCs w:val="20"/>
              </w:rPr>
              <w:t xml:space="preserve">Affiliation</w:t>
            </w:r>
          </w:p>
        </w:tc>
        <w:tc>
          <w:tcPr>
            <w:tcW w:type="dxa" w:w="65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20"/>
                <w:szCs w:val="20"/>
              </w:rPr>
              <w:t xml:space="preserve">huf.org — Higgins Unity Framework</w:t>
            </w:r>
          </w:p>
        </w:tc>
      </w:tr>
      <w:tr>
        <w:tc>
          <w:tcPr>
            <w:tcW w:type="dxa" w:w="2800"/>
            <w:tcBorders>
              <w:top w:val="single" w:color="CCCCCC" w:sz="1"/>
              <w:left w:val="single" w:color="CCCCCC" w:sz="1"/>
              <w:bottom w:val="single" w:color="CCCCCC" w:sz="1"/>
              <w:right w:val="single" w:color="CCCCCC" w:sz="1"/>
            </w:tcBorders>
            <w:shd w:fill="E8F0F4" w:val="clear"/>
            <w:tcMar>
              <w:top w:type="dxa" w:w="60"/>
              <w:left w:type="dxa" w:w="120"/>
              <w:bottom w:type="dxa" w:w="60"/>
              <w:right w:type="dxa" w:w="120"/>
            </w:tcMar>
          </w:tcPr>
          <w:p>
            <w:r>
              <w:rPr>
                <w:b/>
                <w:bCs/>
                <w:sz w:val="20"/>
                <w:szCs w:val="20"/>
              </w:rPr>
              <w:t xml:space="preserve">Contact</w:t>
            </w:r>
          </w:p>
        </w:tc>
        <w:tc>
          <w:tcPr>
            <w:tcW w:type="dxa" w:w="65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20"/>
                <w:szCs w:val="20"/>
              </w:rPr>
              <w:t xml:space="preserve">peter@huf.org · peterhiggins2016@gmail.com</w:t>
            </w:r>
          </w:p>
        </w:tc>
      </w:tr>
      <w:tr>
        <w:tc>
          <w:tcPr>
            <w:tcW w:type="dxa" w:w="2800"/>
            <w:tcBorders>
              <w:top w:val="single" w:color="CCCCCC" w:sz="1"/>
              <w:left w:val="single" w:color="CCCCCC" w:sz="1"/>
              <w:bottom w:val="single" w:color="CCCCCC" w:sz="1"/>
              <w:right w:val="single" w:color="CCCCCC" w:sz="1"/>
            </w:tcBorders>
            <w:shd w:fill="E8F0F4" w:val="clear"/>
            <w:tcMar>
              <w:top w:type="dxa" w:w="60"/>
              <w:left w:type="dxa" w:w="120"/>
              <w:bottom w:type="dxa" w:w="60"/>
              <w:right w:type="dxa" w:w="120"/>
            </w:tcMar>
          </w:tcPr>
          <w:p>
            <w:r>
              <w:rPr>
                <w:b/>
                <w:bCs/>
                <w:sz w:val="20"/>
                <w:szCs w:val="20"/>
              </w:rPr>
              <w:t xml:space="preserve">Date</w:t>
            </w:r>
          </w:p>
        </w:tc>
        <w:tc>
          <w:tcPr>
            <w:tcW w:type="dxa" w:w="65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20"/>
                <w:szCs w:val="20"/>
              </w:rPr>
              <w:t xml:space="preserve">17 March 2026</w:t>
            </w:r>
          </w:p>
        </w:tc>
      </w:tr>
      <w:tr>
        <w:tc>
          <w:tcPr>
            <w:tcW w:type="dxa" w:w="2800"/>
            <w:tcBorders>
              <w:top w:val="single" w:color="CCCCCC" w:sz="1"/>
              <w:left w:val="single" w:color="CCCCCC" w:sz="1"/>
              <w:bottom w:val="single" w:color="CCCCCC" w:sz="1"/>
              <w:right w:val="single" w:color="CCCCCC" w:sz="1"/>
            </w:tcBorders>
            <w:shd w:fill="E8F0F4" w:val="clear"/>
            <w:tcMar>
              <w:top w:type="dxa" w:w="60"/>
              <w:left w:type="dxa" w:w="120"/>
              <w:bottom w:type="dxa" w:w="60"/>
              <w:right w:type="dxa" w:w="120"/>
            </w:tcMar>
          </w:tcPr>
          <w:p>
            <w:r>
              <w:rPr>
                <w:b/>
                <w:bCs/>
                <w:sz w:val="20"/>
                <w:szCs w:val="20"/>
              </w:rPr>
              <w:t xml:space="preserve">Version</w:t>
            </w:r>
          </w:p>
        </w:tc>
        <w:tc>
          <w:tcPr>
            <w:tcW w:type="dxa" w:w="65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20"/>
                <w:szCs w:val="20"/>
              </w:rPr>
              <w:t xml:space="preserve">v2.0 (huf.org release)</w:t>
            </w:r>
          </w:p>
        </w:tc>
      </w:tr>
    </w:tbl>
    <w:p>
      <w:pPr>
        <w:spacing w:after="80"/>
      </w:pPr>
    </w:p>
    <w:p>
      <w:pPr>
        <w:pStyle w:val="Heading2"/>
      </w:pPr>
      <w:r>
        <w:t xml:space="preserve">Preamble</w:t>
      </w:r>
    </w:p>
    <w:p>
      <w:pPr>
        <w:spacing w:after="160"/>
      </w:pPr>
      <w:r>
        <w:t xml:space="preserve">The huf.org research collective respectfully submits this technical paper to the Secretariat of the Convention on Biological Diversity for consideration in the development of indicators for the Kunming-Montreal Global Biodiversity Framework (GBF). Specifically, we propose the HUF Portfolio Share (ρ) and its associated Composition Monitoring protocol (MC-4) as a governance-layer indicator addressing GBF Target 3 (‘30x30’) effective management requirements.</w:t>
      </w:r>
    </w:p>
    <w:p>
      <w:pPr>
        <w:spacing w:after="160"/>
      </w:pPr>
      <w:r>
        <w:t xml:space="preserve">HUF is maintained as an open governance standard at huf.org. The complete mathematical corpus and all supporting materials are available under the MIT License.</w:t>
      </w:r>
    </w:p>
    <w:p>
      <w:pPr>
        <w:pStyle w:val="Heading2"/>
      </w:pPr>
      <w:r>
        <w:t xml:space="preserve">1. Alignment with the Kunming-Montreal GBF</w:t>
      </w:r>
    </w:p>
    <w:p>
      <w:pPr>
        <w:pStyle w:val="Heading3"/>
      </w:pPr>
      <w:r>
        <w:t xml:space="preserve">1.1 Target 3 — Effective conservation and management</w:t>
      </w:r>
    </w:p>
    <w:p>
      <w:pPr>
        <w:spacing w:after="160"/>
      </w:pPr>
      <w:r>
        <w:t xml:space="preserve">GBF Target 3 requires that by 2030, at least 30% of terrestrial, inland water, and coastal and marine areas are effectively conserved and managed. The critical term is ‘effectively managed.’ The GBF does not currently specify an operational definition or standardised measurement methodology for management effectiveness at the level of governance intent.</w:t>
      </w:r>
    </w:p>
    <w:p>
      <w:pPr>
        <w:spacing w:after="160"/>
      </w:pPr>
      <w:r>
        <w:t xml:space="preserve">HUF-ρ provides this definition: a protected area is effectively managed if (a) management resource allocation is explicitly declared as a portfolio composition, (b) the trajectory of that composition is tracked using the MC-4 protocol, and (c) the proportion of unintended (silent) drift events is below a specified threshold. This is a governance indicator, not an ecological state indicator.</w:t>
      </w:r>
    </w:p>
    <w:p>
      <w:pPr>
        <w:pStyle w:val="Heading3"/>
      </w:pPr>
      <w:r>
        <w:t xml:space="preserve">1.2 Alignment with other GBF targets</w:t>
      </w:r>
    </w:p>
    <w:p>
      <w:pPr>
        <w:pStyle w:val="ListParagraph"/>
        <w:numPr>
          <w:ilvl w:val="0"/>
          <w:numId w:val="2"/>
        </w:numPr>
        <w:spacing w:after="80"/>
      </w:pPr>
      <w:r>
        <w:rPr>
          <w:b/>
          <w:bCs/>
        </w:rPr>
        <w:t xml:space="preserve">Target 3 (30x30): </w:t>
      </w:r>
      <w:r>
        <w:t xml:space="preserve">Operationalises ‘effective management’ via MC-4 governance-layer monitoring.</w:t>
      </w:r>
    </w:p>
    <w:p>
      <w:pPr>
        <w:pStyle w:val="ListParagraph"/>
        <w:numPr>
          <w:ilvl w:val="0"/>
          <w:numId w:val="2"/>
        </w:numPr>
        <w:spacing w:after="80"/>
      </w:pPr>
      <w:r>
        <w:rPr>
          <w:b/>
          <w:bCs/>
        </w:rPr>
        <w:t xml:space="preserve">Target 1 (Spatial planning): </w:t>
      </w:r>
      <w:r>
        <w:t xml:space="preserve">Tracks spatial allocation portfolio shares via HUF-ρ for habitat zone portfolios.</w:t>
      </w:r>
    </w:p>
    <w:p>
      <w:pPr>
        <w:pStyle w:val="ListParagraph"/>
        <w:numPr>
          <w:ilvl w:val="0"/>
          <w:numId w:val="2"/>
        </w:numPr>
        <w:spacing w:after="80"/>
      </w:pPr>
      <w:r>
        <w:rPr>
          <w:b/>
          <w:bCs/>
        </w:rPr>
        <w:t xml:space="preserve">Target 19 (Finance): </w:t>
      </w:r>
      <w:r>
        <w:t xml:space="preserve">Tracks financial portfolio allocation governance via HUF-ρ for conservation finance.</w:t>
      </w:r>
    </w:p>
    <w:p>
      <w:pPr>
        <w:pStyle w:val="ListParagraph"/>
        <w:numPr>
          <w:ilvl w:val="0"/>
          <w:numId w:val="2"/>
        </w:numPr>
        <w:spacing w:after="80"/>
      </w:pPr>
      <w:r>
        <w:rPr>
          <w:b/>
          <w:bCs/>
        </w:rPr>
        <w:t xml:space="preserve">Target 21 (Data): </w:t>
      </w:r>
      <w:r>
        <w:t xml:space="preserve">Provides standardised governance data via MC-4 monitoring records as open data.</w:t>
      </w:r>
    </w:p>
    <w:p>
      <w:pPr>
        <w:pStyle w:val="Heading2"/>
      </w:pPr>
      <w:r>
        <w:t xml:space="preserve">2. The HUF Portfolio Share Indicator</w:t>
      </w:r>
    </w:p>
    <w:p>
      <w:pPr>
        <w:pStyle w:val="Heading3"/>
      </w:pPr>
      <w:r>
        <w:t xml:space="preserve">2.1 Indicator name and class</w:t>
      </w:r>
    </w:p>
    <w:p>
      <w:pPr>
        <w:spacing w:after="160"/>
      </w:pPr>
      <w:r>
        <w:t xml:space="preserve">Name: Managed Biodiversity Portfolio Share (HUF-ρ). Class: governance indicator (management effectiveness, allocation fidelity). Complementary class in GEO BON: EBV candidate — Ecosystem function / Habitat.</w:t>
      </w:r>
    </w:p>
    <w:p>
      <w:pPr>
        <w:pStyle w:val="Heading3"/>
      </w:pPr>
      <w:r>
        <w:t xml:space="preserve">2.2 Technical specification</w:t>
      </w:r>
    </w:p>
    <w:p>
      <w:pPr>
        <w:spacing w:after="160"/>
      </w:pPr>
      <w:r>
        <w:t xml:space="preserve">For a managed protected area with k designated management zones {e₁ ... eₖ}, portfolio share ρᵢ(t) = aᵢ(t) / Σⱼ aⱼ(t), where aᵢ(t) is the governance-declared management allocation for period t. The indicator satisfies Σρᵢ = 1.</w:t>
      </w:r>
    </w:p>
    <w:p>
      <w:pPr>
        <w:spacing w:after="160"/>
      </w:pPr>
      <w:r>
        <w:t xml:space="preserve">The associated monitoring metric is the Mean Drift Gap (MDG): the mean absolute period-on-period change in portfolio shares. MDG &lt; δ (governance threshold) indicates management allocation stability; MDG &gt; δ triggers provenance review.</w:t>
      </w:r>
    </w:p>
    <w:p>
      <w:pPr>
        <w:pStyle w:val="Heading3"/>
      </w:pPr>
      <w:r>
        <w:t xml:space="preserve">2.3 Aggregate national reporting</w:t>
      </w:r>
    </w:p>
    <w:p>
      <w:pPr>
        <w:spacing w:after="160"/>
      </w:pPr>
      <w:r>
        <w:t xml:space="preserve">At national scale, the indicator aggregates as the proportion of protected areas in a Contracting Party that meet the MC-4 protocol requirements — i.e., have declared portfolio compositions, track MDG against a threshold, and maintain provenance logs. This is a binary readiness indicator at site level, aggregating to a proportion at national level.</w:t>
      </w:r>
    </w:p>
    <w:p>
      <w:pPr>
        <w:pStyle w:val="Heading2"/>
      </w:pPr>
      <w:r>
        <w:t xml:space="preserve">3. Proposed Indicator Framework</w:t>
      </w:r>
    </w:p>
    <w:p>
      <w:pPr>
        <w:spacing w:after="160"/>
      </w:pPr>
      <w:r>
        <w:t xml:space="preserve">huf.org proposes a three-phase indicator adoption pathway:</w:t>
      </w:r>
    </w:p>
    <w:p>
      <w:pPr>
        <w:pStyle w:val="ListParagraph"/>
        <w:numPr>
          <w:ilvl w:val="0"/>
          <w:numId w:val="2"/>
        </w:numPr>
        <w:spacing w:after="80"/>
      </w:pPr>
      <w:r>
        <w:rPr>
          <w:b/>
          <w:bCs/>
        </w:rPr>
        <w:t xml:space="preserve">Phase 1 (2026–2027): </w:t>
      </w:r>
      <w:r>
        <w:t xml:space="preserve">Pilot at 3–5 Ramsar sites across multiple biogeographic regions. Produce comparative MDG analysis.</w:t>
      </w:r>
    </w:p>
    <w:p>
      <w:pPr>
        <w:pStyle w:val="ListParagraph"/>
        <w:numPr>
          <w:ilvl w:val="0"/>
          <w:numId w:val="2"/>
        </w:numPr>
        <w:spacing w:after="80"/>
      </w:pPr>
      <w:r>
        <w:rPr>
          <w:b/>
          <w:bCs/>
        </w:rPr>
        <w:t xml:space="preserve">Phase 2 (2027–2028): </w:t>
      </w:r>
      <w:r>
        <w:t xml:space="preserve">Submit for formal GBF indicator status. Publish peer-reviewed validation results.</w:t>
      </w:r>
    </w:p>
    <w:p>
      <w:pPr>
        <w:pStyle w:val="ListParagraph"/>
        <w:numPr>
          <w:ilvl w:val="0"/>
          <w:numId w:val="2"/>
        </w:numPr>
        <w:spacing w:after="80"/>
      </w:pPr>
      <w:r>
        <w:rPr>
          <w:b/>
          <w:bCs/>
        </w:rPr>
        <w:t xml:space="preserve">Phase 3 (2028–2030): </w:t>
      </w:r>
      <w:r>
        <w:t xml:space="preserve">Standardise MC-4 protocol for Contracting Party self-assessment. Integrate with national reporting workflows.</w:t>
      </w:r>
    </w:p>
    <w:p>
      <w:pPr>
        <w:pStyle w:val="Heading2"/>
      </w:pPr>
      <w:r>
        <w:t xml:space="preserve">About huf.org</w:t>
      </w:r>
    </w:p>
    <w:p>
      <w:pPr>
        <w:spacing w:after="160"/>
      </w:pPr>
      <w:r>
        <w:t xml:space="preserve">The Higgins Unity Framework is maintained as an open governance standard at </w:t>
      </w:r>
      <w:r>
        <w:rPr>
          <w:b/>
          <w:bCs/>
        </w:rPr>
        <w:t xml:space="preserve">huf.org</w:t>
      </w:r>
      <w:r>
        <w:t xml:space="preserve">. The standard, its reference implementations, audience-specific editions, and collective review record are publicly available under the MIT License. huf.org operates a tiered engagement model designed to serve organizations at whatever level of involvement serves their mission.</w:t>
      </w:r>
    </w:p>
    <w:p>
      <w:pPr>
        <w:spacing w:after="80"/>
      </w:pPr>
    </w:p>
    <w:p>
      <w:pPr>
        <w:spacing w:after="160"/>
      </w:pPr>
      <w:r>
        <w:rPr>
          <w:b/>
          <w:bCs/>
        </w:rPr>
        <w:t xml:space="preserve">Tier 1 — Reference. </w:t>
      </w:r>
      <w:r>
        <w:t xml:space="preserve">Any organization may reference the HUF standard freely. The complete mathematical corpus (27 formal results across 4 audience editions), monitoring protocols (MC-1 through MC-4), and open-source tooling are available at huf.org with no licensing requirements beyond MIT attribution.</w:t>
      </w:r>
    </w:p>
    <w:p>
      <w:pPr>
        <w:spacing w:after="160"/>
      </w:pPr>
      <w:r>
        <w:rPr>
          <w:b/>
          <w:bCs/>
        </w:rPr>
        <w:t xml:space="preserve">Tier 2 — Adoption. </w:t>
      </w:r>
      <w:r>
        <w:t xml:space="preserve">Organizations that formally adopt HUF methodology contribute validation data from their domain back to the repository, expanding the evidence base and earning citation in the collective review record. Adopters receive priority access to new editions and technical support from the huf.org development collective.</w:t>
      </w:r>
    </w:p>
    <w:p>
      <w:pPr>
        <w:spacing w:after="160"/>
      </w:pPr>
      <w:r>
        <w:rPr>
          <w:b/>
          <w:bCs/>
        </w:rPr>
        <w:t xml:space="preserve">Tier 3 — Stewardship. </w:t>
      </w:r>
      <w:r>
        <w:t xml:space="preserve">Organizations that join the huf.org Governance Council participate in the standard’s evolution: voting on amendments, proposing new audience editions, shaping the control stack (CL-01 through CL-05), and co-authoring the formal review trace. Stewards help determine what HUF becomes.</w:t>
      </w:r>
    </w:p>
    <w:p>
      <w:pPr>
        <w:spacing w:after="80"/>
      </w:pPr>
    </w:p>
    <w:p>
      <w:pPr>
        <w:pBdr>
          <w:left w:val="single" w:color="1A3A4A" w:sz="3" w:space="8"/>
        </w:pBdr>
        <w:spacing w:after="160"/>
        <w:ind w:left="720" w:right="720"/>
      </w:pPr>
      <w:r>
        <w:rPr>
          <w:i/>
          <w:iCs/>
          <w:color w:val="4A4A4A"/>
        </w:rPr>
        <w:t xml:space="preserve">huf.org invites engagement at whichever tier serves your mission. The standard exists to be used. Its governance exists to be shared.</w:t>
      </w:r>
    </w:p>
    <w:p>
      <w:pPr>
        <w:pStyle w:val="Heading2"/>
      </w:pPr>
      <w:r>
        <w:t xml:space="preserve">huf.org Resources</w:t>
      </w:r>
    </w:p>
    <w:p>
      <w:pPr>
        <w:pStyle w:val="ListParagraph"/>
        <w:numPr>
          <w:ilvl w:val="0"/>
          <w:numId w:val="2"/>
        </w:numPr>
        <w:spacing w:after="80"/>
      </w:pPr>
      <w:r>
        <w:rPr>
          <w:b/>
          <w:bCs/>
        </w:rPr>
        <w:t xml:space="preserve">Standard Repository: </w:t>
      </w:r>
      <w:r>
        <w:t xml:space="preserve">huf.org — complete corpus, all 4 audience editions, formal review trace</w:t>
      </w:r>
    </w:p>
    <w:p>
      <w:pPr>
        <w:pStyle w:val="ListParagraph"/>
        <w:numPr>
          <w:ilvl w:val="0"/>
          <w:numId w:val="2"/>
        </w:numPr>
        <w:spacing w:after="80"/>
      </w:pPr>
      <w:r>
        <w:rPr>
          <w:b/>
          <w:bCs/>
        </w:rPr>
        <w:t xml:space="preserve">Source Code: </w:t>
      </w:r>
      <w:r>
        <w:t xml:space="preserve">github.com/PeterHiggins19/huf_core — open-source implementations (MIT License)</w:t>
      </w:r>
    </w:p>
    <w:p>
      <w:pPr>
        <w:pStyle w:val="ListParagraph"/>
        <w:numPr>
          <w:ilvl w:val="0"/>
          <w:numId w:val="2"/>
        </w:numPr>
        <w:spacing w:after="80"/>
      </w:pPr>
      <w:r>
        <w:rPr>
          <w:b/>
          <w:bCs/>
        </w:rPr>
        <w:t xml:space="preserve">Documentation: </w:t>
      </w:r>
      <w:r>
        <w:t xml:space="preserve">huf.org/docs — developer manual, technical notes, wiki</w:t>
      </w:r>
    </w:p>
    <w:p>
      <w:pPr>
        <w:pStyle w:val="ListParagraph"/>
        <w:numPr>
          <w:ilvl w:val="0"/>
          <w:numId w:val="2"/>
        </w:numPr>
        <w:spacing w:after="80"/>
      </w:pPr>
      <w:r>
        <w:rPr>
          <w:b/>
          <w:bCs/>
        </w:rPr>
        <w:t xml:space="preserve">Collective Review Record: </w:t>
      </w:r>
      <w:r>
        <w:t xml:space="preserve">huf.org/review-trace — 27 multi-AI review documents, full provenance</w:t>
      </w:r>
    </w:p>
    <w:p>
      <w:pPr>
        <w:pStyle w:val="ListParagraph"/>
        <w:numPr>
          <w:ilvl w:val="0"/>
          <w:numId w:val="2"/>
        </w:numPr>
        <w:spacing w:after="80"/>
      </w:pPr>
      <w:r>
        <w:rPr>
          <w:b/>
          <w:bCs/>
        </w:rPr>
        <w:t xml:space="preserve">Audience Editions: </w:t>
      </w:r>
      <w:r>
        <w:t xml:space="preserve">Mathematician’s, Physics, Sciences, Engineering — same 27 results, domain-specific framing</w:t>
      </w:r>
    </w:p>
    <w:p>
      <w:pPr>
        <w:spacing w:after="80"/>
      </w:pPr>
    </w:p>
    <w:p>
      <w:pPr>
        <w:spacing w:after="160"/>
      </w:pPr>
      <w:r>
        <w:rPr>
          <w:i/>
          <w:iCs/>
        </w:rPr>
        <w:t xml:space="preserve">Contact: Peter Higgins — peter@huf.org · peterhiggins2016@gmail.com</w:t>
      </w:r>
    </w:p>
    <w:p>
      <w:pPr>
        <w:spacing w:after="80"/>
      </w:pPr>
    </w:p>
    <w:p>
      <w:pPr>
        <w:spacing w:after="160"/>
      </w:pPr>
      <w:r>
        <w:rPr>
          <w:i/>
          <w:iCs/>
        </w:rPr>
        <w:t xml:space="preserve">Prepared with AI-assisted drafting by the huf.org development collective (Claude, ChatGPT, Grok, Gemini, Copilot), reviewed and approved by Peter Higgins as principal author. All claims are stated conservatively and should be treated as hypotheses pending independent validation. The HUF standard has undergone 27 rounds of multi-AI collective review; human peer review is the designated next phase.</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1" w:space="4"/>
      </w:pBdr>
      <w:jc w:val="center"/>
    </w:pPr>
    <w:r>
      <w:rPr>
        <w:rFonts w:ascii="Georgia" w:cs="Georgia" w:eastAsia="Georgia" w:hAnsi="Georgia"/>
        <w:color w:val="888888"/>
        <w:sz w:val="16"/>
        <w:szCs w:val="16"/>
      </w:rPr>
      <w:t xml:space="preserve">huf.org  ·  MIT License  ·  Page </w:t>
    </w:r>
    <w:r>
      <w:rPr>
        <w:rFonts w:ascii="Georgia" w:cs="Georgia" w:eastAsia="Georgia" w:hAnsi="Georgia"/>
        <w:color w:val="888888"/>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A3A4A" w:sz="2" w:space="4"/>
      </w:pBdr>
      <w:spacing w:after="0"/>
      <w:jc w:val="left"/>
    </w:pPr>
    <w:r>
      <w:rPr>
        <w:rFonts w:ascii="Georgia" w:cs="Georgia" w:eastAsia="Georgia" w:hAnsi="Georgia"/>
        <w:b/>
        <w:bCs/>
        <w:color w:val="1A3A4A"/>
        <w:sz w:val="18"/>
        <w:szCs w:val="18"/>
      </w:rPr>
      <w:t xml:space="preserve">huf.org</w:t>
    </w:r>
    <w:r>
      <w:rPr>
        <w:rFonts w:ascii="Georgia" w:cs="Georgia" w:eastAsia="Georgia" w:hAnsi="Georgia"/>
        <w:color w:val="6A8A9A"/>
        <w:sz w:val="16"/>
        <w:szCs w:val="16"/>
      </w:rPr>
      <w:t xml:space="preserve">  —  Higgins Unity Framework  —  Open Governance Standard</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eorgia" w:cs="Georgia" w:eastAsia="Georgia" w:hAnsi="Georgia"/>
        <w:color w:val="2D2D2D"/>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Georgia" w:cs="Georgia" w:eastAsia="Georgia" w:hAnsi="Georgia"/>
      <w:b/>
      <w:bCs/>
      <w:color w:val="1A3A4A"/>
      <w:sz w:val="32"/>
      <w:szCs w:val="32"/>
    </w:rPr>
  </w:style>
  <w:style w:type="paragraph" w:styleId="Heading2">
    <w:name w:val="Heading 2"/>
    <w:basedOn w:val="Normal"/>
    <w:next w:val="Normal"/>
    <w:qFormat/>
    <w:pPr>
      <w:spacing w:after="160" w:before="280"/>
      <w:outlineLvl w:val="1"/>
    </w:pPr>
    <w:rPr>
      <w:rFonts w:ascii="Georgia" w:cs="Georgia" w:eastAsia="Georgia" w:hAnsi="Georgia"/>
      <w:b/>
      <w:bCs/>
      <w:color w:val="2A5A6A"/>
      <w:sz w:val="26"/>
      <w:szCs w:val="26"/>
    </w:rPr>
  </w:style>
  <w:style w:type="paragraph" w:styleId="Heading3">
    <w:name w:val="Heading 3"/>
    <w:basedOn w:val="Normal"/>
    <w:next w:val="Normal"/>
    <w:qFormat/>
    <w:pPr>
      <w:spacing w:after="120" w:before="200"/>
      <w:outlineLvl w:val="2"/>
    </w:pPr>
    <w:rPr>
      <w:rFonts w:ascii="Georgia" w:cs="Georgia" w:eastAsia="Georgia" w:hAnsi="Georgia"/>
      <w:b/>
      <w:bCs/>
      <w:color w:val="3A6A7A"/>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2026-03-17T15:24:25.774Z</dcterms:created>
  <dcterms:modified xsi:type="dcterms:W3CDTF">2026-03-17T15:24:25.774Z</dcterms:modified>
</cp:coreProperties>
</file>

<file path=docProps/custom.xml><?xml version="1.0" encoding="utf-8"?>
<Properties xmlns="http://schemas.openxmlformats.org/officeDocument/2006/custom-properties" xmlns:vt="http://schemas.openxmlformats.org/officeDocument/2006/docPropsVTypes"/>
</file>