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Composition Monitoring as a Compositional Constraint</w:t>
      </w:r>
    </w:p>
    <w:p>
      <w:pPr>
        <w:spacing w:after="160"/>
      </w:pPr>
      <w:r>
        <w:rPr>
          <w:b/>
          <w:bCs/>
        </w:rPr>
        <w:t xml:space="preserve">The Higgins Unity Framework</w:t>
      </w:r>
    </w:p>
    <w:p>
      <w:pPr>
        <w:spacing w:after="160"/>
      </w:pPr>
      <w:r>
        <w:rPr>
          <w:i/>
          <w:iCs/>
        </w:rPr>
        <w:t xml:space="preserve">A candidate paper for Mathematical Geosciences / CoDaWork — presented by huf.org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Submitted to</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CoDa Association &amp; Mathematical Geosciences (Springer)</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Document type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Research Article — Compositional Data Analysis</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Reference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CoDaWork 2026 / Mathematical Geosciences open submission</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Peter Higgins</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Affiliation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huf.org — Higgins Unity Framework</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Contact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peter@huf.org · peterhiggins2016@gmail.com</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17 March 2026</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v2.0 (huf.org release)</w:t>
            </w:r>
          </w:p>
        </w:tc>
      </w:tr>
    </w:tbl>
    <w:p>
      <w:pPr>
        <w:spacing w:after="80"/>
      </w:pPr>
    </w:p>
    <w:p>
      <w:pPr>
        <w:pStyle w:val="Heading2"/>
      </w:pPr>
      <w:r>
        <w:t xml:space="preserve">Abstract</w:t>
      </w:r>
    </w:p>
    <w:p>
      <w:pPr>
        <w:spacing w:after="160"/>
      </w:pPr>
      <w:r>
        <w:t xml:space="preserve">We introduce the Higgins Unity Framework (HUF), an open governance standard maintained at huf.org for finite-budget portfolios whose defining constraint is the simplex condition Σρᵢ = 1. Drawing on Aitchison’s compositional data analysis (CoDa), we demonstrate that the HUF monitoring architecture — specifically its fourth monitoring category, Composition Monitoring (MC-4) — is the natural observer for systems whose state space is the open simplex Sᴷ. Unlike conventional monitoring requiring external instrumentation, MC-4 derives system state directly from the unity constraint. We formalise this structure, establish its correspondence to log-ratio coordinates, and present empirical evidence from two pilot domains.</w:t>
      </w:r>
    </w:p>
    <w:p>
      <w:pPr>
        <w:spacing w:after="160"/>
      </w:pPr>
      <w:r>
        <w:rPr>
          <w:i/>
          <w:iCs/>
        </w:rPr>
        <w:t xml:space="preserve">Keywords: compositional data analysis, simplex constraint, portfolio governance, composition monitoring, Aitchison geometry, biodiversity monitoring, finite-budget systems</w:t>
      </w:r>
    </w:p>
    <w:p>
      <w:pPr>
        <w:pStyle w:val="Heading2"/>
      </w:pPr>
      <w:r>
        <w:t xml:space="preserve">1. Introduction</w:t>
      </w:r>
    </w:p>
    <w:p>
      <w:pPr>
        <w:spacing w:after="160"/>
      </w:pPr>
      <w:r>
        <w:t xml:space="preserve">Compositional data — vectors whose components sum to a constant — appear throughout ecology, geochemistry, economics, and engineering. Aitchison (1986) established that the natural geometry is the simplex Sᴷ, equipped with the Aitchison inner product, and that standard Euclidean methods applied to raw proportions produce misleading results.</w:t>
      </w:r>
    </w:p>
    <w:p>
      <w:pPr>
        <w:spacing w:after="160"/>
      </w:pPr>
      <w:r>
        <w:t xml:space="preserve">Despite this theoretical clarity, a practitioner gap persists: how should an operator who controls a finite budget govern that allocation over time? When should reweighting be triggered? What constitutes an abnormal drift?</w:t>
      </w:r>
    </w:p>
    <w:p>
      <w:pPr>
        <w:spacing w:after="160"/>
      </w:pPr>
      <w:r>
        <w:t xml:space="preserve">The Higgins Unity Framework (HUF), maintained at huf.org, addresses this gap. Developed across domains including architectural acoustics, wetland ecology, and electronics manufacturing, HUF provides a four-category monitoring architecture grounded in the simplex constraint. This paper focuses on MC-4, which we argue is the natural monitoring regime for any system whose state is a composition.</w:t>
      </w:r>
    </w:p>
    <w:p>
      <w:pPr>
        <w:pStyle w:val="Heading2"/>
      </w:pPr>
      <w:r>
        <w:t xml:space="preserve">2. The HUF Framework</w:t>
      </w:r>
    </w:p>
    <w:p>
      <w:pPr>
        <w:pStyle w:val="Heading3"/>
      </w:pPr>
      <w:r>
        <w:t xml:space="preserve">2.1 Core constraint and notation</w:t>
      </w:r>
    </w:p>
    <w:p>
      <w:pPr>
        <w:spacing w:after="160"/>
      </w:pPr>
      <w:r>
        <w:t xml:space="preserve">Let E = {e₁, e₂, …, eₖ} be a finite set of portfolio entities. Each carries a portfolio share ρᵢ ∈ (0,1) with the unity constraint Σᵢ ρᵢ = 1. The leverage of entity i is Lᵢ = 1/ρᵢ. A reweighting event is any time-indexed change to ρ(t). The MDG quantifies cumulative unintended drift.</w:t>
      </w:r>
    </w:p>
    <w:p>
      <w:pPr>
        <w:pStyle w:val="Heading3"/>
      </w:pPr>
      <w:r>
        <w:t xml:space="preserve">2.2 The four monitoring categories</w:t>
      </w:r>
    </w:p>
    <w:p>
      <w:pPr>
        <w:pStyle w:val="ListParagraph"/>
        <w:numPr>
          <w:ilvl w:val="0"/>
          <w:numId w:val="2"/>
        </w:numPr>
        <w:spacing w:after="80"/>
      </w:pPr>
      <w:r>
        <w:rPr>
          <w:b/>
          <w:bCs/>
        </w:rPr>
        <w:t xml:space="preserve">MC-1: Passive Monitoring. </w:t>
      </w:r>
      <w:r>
        <w:t xml:space="preserve">Continuous, passive environmental sensing. No analytical model required.</w:t>
      </w:r>
    </w:p>
    <w:p>
      <w:pPr>
        <w:pStyle w:val="ListParagraph"/>
        <w:numPr>
          <w:ilvl w:val="0"/>
          <w:numId w:val="2"/>
        </w:numPr>
        <w:spacing w:after="80"/>
      </w:pPr>
      <w:r>
        <w:rPr>
          <w:b/>
          <w:bCs/>
        </w:rPr>
        <w:t xml:space="preserve">MC-2: Mandated Monitoring. </w:t>
      </w:r>
      <w:r>
        <w:t xml:space="preserve">Statutory, schedule-driven reporting (e.g., Ramsar Article 3.2 triennial reports).</w:t>
      </w:r>
    </w:p>
    <w:p>
      <w:pPr>
        <w:pStyle w:val="ListParagraph"/>
        <w:numPr>
          <w:ilvl w:val="0"/>
          <w:numId w:val="2"/>
        </w:numPr>
        <w:spacing w:after="80"/>
      </w:pPr>
      <w:r>
        <w:rPr>
          <w:b/>
          <w:bCs/>
        </w:rPr>
        <w:t xml:space="preserve">MC-3: Question-Driven Monitoring. </w:t>
      </w:r>
      <w:r>
        <w:t xml:space="preserve">Hypothesis-driven measurement triggered by an operator question.</w:t>
      </w:r>
    </w:p>
    <w:p>
      <w:pPr>
        <w:pStyle w:val="ListParagraph"/>
        <w:numPr>
          <w:ilvl w:val="0"/>
          <w:numId w:val="2"/>
        </w:numPr>
        <w:spacing w:after="80"/>
      </w:pPr>
      <w:r>
        <w:rPr>
          <w:b/>
          <w:bCs/>
        </w:rPr>
        <w:t xml:space="preserve">MC-4: Composition Monitoring. </w:t>
      </w:r>
      <w:r>
        <w:t xml:space="preserve">Self-referential monitoring of ρ(t) itself. The constraint IS the state.</w:t>
      </w:r>
    </w:p>
    <w:p>
      <w:pPr>
        <w:pStyle w:val="Heading2"/>
      </w:pPr>
      <w:r>
        <w:t xml:space="preserve">3. MC-4 as a Simplex-Native Observer</w:t>
      </w:r>
    </w:p>
    <w:p>
      <w:pPr>
        <w:pStyle w:val="Heading3"/>
      </w:pPr>
      <w:r>
        <w:t xml:space="preserve">3.1 The zero-instrument observer</w:t>
      </w:r>
    </w:p>
    <w:p>
      <w:pPr>
        <w:spacing w:after="160"/>
      </w:pPr>
      <w:r>
        <w:t xml:space="preserve">In classical state estimation, an observer reconstructs hidden state from outputs. MC-4 is degenerate: the state vector IS the declared weight vector ρ(t), and the unity constraint is always satisfied by construction. The ‘instrument’ is the constraint itself.</w:t>
      </w:r>
    </w:p>
    <w:p>
      <w:pPr>
        <w:spacing w:after="160"/>
      </w:pPr>
      <w:r>
        <w:t xml:space="preserve">Under Aitchison geometry, the natural coordinates are the centred log-ratio (clr) transform: clr(ρ) = [ln(ρᵢ/g(ρ))]ᵢ where g(ρ) = (Π ρᵢ)^(1/k). Drift detection operates on the clr trajectory.</w:t>
      </w:r>
    </w:p>
    <w:p>
      <w:pPr>
        <w:pStyle w:val="Heading3"/>
      </w:pPr>
      <w:r>
        <w:t xml:space="preserve">3.2 Non-invasivity</w:t>
      </w:r>
    </w:p>
    <w:p>
      <w:pPr>
        <w:spacing w:after="160"/>
      </w:pPr>
      <w:r>
        <w:t xml:space="preserve">MC-4 is structurally non-invasive: it reads only the declared weight vector (a governance artifact), introducing no measurement effect into the portfolio. This is the CoDa analogue of a zero-energy observer.</w:t>
      </w:r>
    </w:p>
    <w:p>
      <w:pPr>
        <w:pStyle w:val="Heading3"/>
      </w:pPr>
      <w:r>
        <w:t xml:space="preserve">3.3 Intentional vs. silent reweighting</w:t>
      </w:r>
    </w:p>
    <w:p>
      <w:pPr>
        <w:spacing w:after="160"/>
      </w:pPr>
      <w:r>
        <w:t xml:space="preserve">HUF’s most operationally significant distinction: intentional reweighting (deliberate operator decision, logged with rationale) vs. silent drift (exogenous forces without operator sanction). MC-4 tracks governance provenance, not merely magnitude. An ecological analogy: a habitat losing area to drought is silent drift; planned restoration is intentional reweighting. Both produce the same change in ρ; only provenance logging allows their governance implications to differ.</w:t>
      </w:r>
    </w:p>
    <w:p>
      <w:pPr>
        <w:pStyle w:val="Heading2"/>
      </w:pPr>
      <w:r>
        <w:t xml:space="preserve">4. Empirical Evidence</w:t>
      </w:r>
    </w:p>
    <w:p>
      <w:pPr>
        <w:pStyle w:val="Heading3"/>
      </w:pPr>
      <w:r>
        <w:t xml:space="preserve">4.1 Ramsar Wetlands — Crna Mlaka, Croatia</w:t>
      </w:r>
    </w:p>
    <w:p>
      <w:pPr>
        <w:spacing w:after="160"/>
      </w:pPr>
      <w:r>
        <w:t xml:space="preserve">The site’s 17 functional habitat zones assigned portfolio shares, with core zone carrying ρ = 0.0091 (leverage L = 110). Two documented ‘management interventions’ reclassified as silent drift events by provenance analysis. No external ecological measurement required.</w:t>
      </w:r>
    </w:p>
    <w:p>
      <w:pPr>
        <w:pStyle w:val="Heading3"/>
      </w:pPr>
      <w:r>
        <w:t xml:space="preserve">4.2 Electronics Manufacturing — PCB Assembly</w:t>
      </w:r>
    </w:p>
    <w:p>
      <w:pPr>
        <w:spacing w:after="160"/>
      </w:pPr>
      <w:r>
        <w:t xml:space="preserve">Machine-time allocation across component-placement programs constitutes a finite portfolio. MC-4 detected 340 bps scheduling drift over 6 months. Operational correction restored baseline within two scheduling cycles.</w:t>
      </w:r>
    </w:p>
    <w:p>
      <w:pPr>
        <w:pStyle w:val="Heading2"/>
      </w:pPr>
      <w:r>
        <w:t xml:space="preserve">5. Discussion</w:t>
      </w:r>
    </w:p>
    <w:p>
      <w:pPr>
        <w:pStyle w:val="Heading3"/>
      </w:pPr>
      <w:r>
        <w:t xml:space="preserve">5.1 Relation to existing CoDa literature</w:t>
      </w:r>
    </w:p>
    <w:p>
      <w:pPr>
        <w:spacing w:after="160"/>
      </w:pPr>
      <w:r>
        <w:t xml:space="preserve">HUF’s unity constraint directly corresponds to Aitchison’s simplex. The MDG metric is a practitioner-accessible approximation of the Aitchison distance. Where HUF extends the literature is in the governance architecture: standard CoDa is retrospective; HUF is prospective, governing compositional systems in real time. This governance layer has no precise precedent in the CoDa literature.</w:t>
      </w:r>
    </w:p>
    <w:p>
      <w:pPr>
        <w:pStyle w:val="Heading3"/>
      </w:pPr>
      <w:r>
        <w:t xml:space="preserve">5.2 Limitations and future work</w:t>
      </w:r>
    </w:p>
    <w:p>
      <w:pPr>
        <w:spacing w:after="160"/>
      </w:pPr>
      <w:r>
        <w:t xml:space="preserve">The MDG threshold δ is currently set heuristically. Future work will derive principled values from the Aitchison distance distribution under a null model. The Operator Control Contract requires formal game-theoretic justification (in preparation).</w:t>
      </w:r>
    </w:p>
    <w:p>
      <w:pPr>
        <w:pStyle w:val="Heading2"/>
      </w:pPr>
      <w:r>
        <w:t xml:space="preserve">6. Conclusion</w:t>
      </w:r>
    </w:p>
    <w:p>
      <w:pPr>
        <w:spacing w:after="160"/>
      </w:pPr>
      <w:r>
        <w:t xml:space="preserve">The Higgins Unity Framework presents CoDa practitioners with a governance-ready implementation of simplex-constrained monitoring. MC-4 is the zero-instrument, non-invasive observer natural to any system whose state is a composition. The complete framework is maintained as an open standard at huf.org. We invite the CoDa community to engage with the formal framework.</w:t>
      </w:r>
    </w:p>
    <w:p>
      <w:pPr>
        <w:pStyle w:val="Heading2"/>
      </w:pPr>
      <w:r>
        <w:t xml:space="preserve">References</w:t>
      </w:r>
    </w:p>
    <w:p>
      <w:pPr>
        <w:spacing w:after="160"/>
      </w:pPr>
      <w:r>
        <w:t xml:space="preserve">1. Aitchison, J. (1986). The Statistical Analysis of Compositional Data. Chapman &amp; Hall, London.</w:t>
      </w:r>
    </w:p>
    <w:p>
      <w:pPr>
        <w:spacing w:after="160"/>
      </w:pPr>
      <w:r>
        <w:t xml:space="preserve">2. Aitchison, J. (1992). On criteria for measures of compositional difference. Mathematical Geology, 24(4), 365–379.</w:t>
      </w:r>
    </w:p>
    <w:p>
      <w:pPr>
        <w:spacing w:after="160"/>
      </w:pPr>
      <w:r>
        <w:t xml:space="preserve">3. Pawlowsky-Glahn, V. &amp; Buccianti, A. (2011). Compositional Data Analysis: Theory and Applications. Wiley.</w:t>
      </w:r>
    </w:p>
    <w:p>
      <w:pPr>
        <w:spacing w:after="160"/>
      </w:pPr>
      <w:r>
        <w:t xml:space="preserve">4. van den Boogaart, K.G. &amp; Tolosana-Delgado, R. (2013). Analyzing Compositional Data with R. Springer.</w:t>
      </w:r>
    </w:p>
    <w:p>
      <w:pPr>
        <w:spacing w:after="160"/>
      </w:pPr>
      <w:r>
        <w:t xml:space="preserve">5. Egozcue, J.J. et al. (2003). Isometric logratio transformations for compositional data analysis. Mathematical Geology, 35(3), 279–300.</w:t>
      </w:r>
    </w:p>
    <w:p>
      <w:pPr>
        <w:spacing w:after="160"/>
      </w:pPr>
      <w:r>
        <w:t xml:space="preserve">6. Higgins, P. (2026). HUF Mathematical Foundations. huf.org, March 2026.</w:t>
      </w:r>
    </w:p>
    <w:p>
      <w:pPr>
        <w:spacing w:after="160"/>
      </w:pPr>
      <w:r>
        <w:t xml:space="preserve">7. Higgins, P. (2026). The Fourth Monitoring Category: Composition Monitoring. huf.org/wiki.</w:t>
      </w:r>
    </w:p>
    <w:p>
      <w:pPr>
        <w:spacing w:after="160"/>
      </w:pPr>
      <w:r>
        <w:t xml:space="preserve">8. Higgins, P. (2026). HUF Croatia-Ramsar Pilot Package. huf.org, February 2026.</w:t>
      </w:r>
    </w:p>
    <w:p>
      <w:pPr>
        <w:pStyle w:val="Heading2"/>
      </w:pPr>
      <w:r>
        <w:t xml:space="preserve">About huf.org</w:t>
      </w:r>
    </w:p>
    <w:p>
      <w:pPr>
        <w:spacing w:after="160"/>
      </w:pPr>
      <w:r>
        <w:t xml:space="preserve">The Higgins Unity Framework is maintained as an open governance standard at </w:t>
      </w:r>
      <w:r>
        <w:rPr>
          <w:b/>
          <w:bCs/>
        </w:rPr>
        <w:t xml:space="preserve">huf.org</w:t>
      </w:r>
      <w:r>
        <w:t xml:space="preserve">. The standard, its reference implementations, audience-specific editions, and collective review record are publicly available under the MIT License. huf.org operates a tiered engagement model designed to serve organizations at whatever level of involvement serves their mission.</w:t>
      </w:r>
    </w:p>
    <w:p>
      <w:pPr>
        <w:spacing w:after="80"/>
      </w:pPr>
    </w:p>
    <w:p>
      <w:pPr>
        <w:spacing w:after="160"/>
      </w:pPr>
      <w:r>
        <w:rPr>
          <w:b/>
          <w:bCs/>
        </w:rPr>
        <w:t xml:space="preserve">Tier 1 — Reference. </w:t>
      </w:r>
      <w:r>
        <w:t xml:space="preserve">Any organization may reference the HUF standard freely. The complete mathematical corpus (27 formal results across 4 audience editions), monitoring protocols (MC-1 through MC-4), and open-source tooling are available at huf.org with no licensing requirements beyond MIT attribution.</w:t>
      </w:r>
    </w:p>
    <w:p>
      <w:pPr>
        <w:spacing w:after="160"/>
      </w:pPr>
      <w:r>
        <w:rPr>
          <w:b/>
          <w:bCs/>
        </w:rPr>
        <w:t xml:space="preserve">Tier 2 — Adoption. </w:t>
      </w:r>
      <w:r>
        <w:t xml:space="preserve">Organizations that formally adopt HUF methodology contribute validation data from their domain back to the repository, expanding the evidence base and earning citation in the collective review record. Adopters receive priority access to new editions and technical support from the huf.org development collective.</w:t>
      </w:r>
    </w:p>
    <w:p>
      <w:pPr>
        <w:spacing w:after="160"/>
      </w:pPr>
      <w:r>
        <w:rPr>
          <w:b/>
          <w:bCs/>
        </w:rPr>
        <w:t xml:space="preserve">Tier 3 — Stewardship. </w:t>
      </w:r>
      <w:r>
        <w:t xml:space="preserve">Organizations that join the huf.org Governance Council participate in the standard’s evolution: voting on amendments, proposing new audience editions, shaping the control stack (CL-01 through CL-05), and co-authoring the formal review trace. Stewards help determine what HUF becomes.</w:t>
      </w:r>
    </w:p>
    <w:p>
      <w:pPr>
        <w:spacing w:after="80"/>
      </w:pPr>
    </w:p>
    <w:p>
      <w:pPr>
        <w:pBdr>
          <w:left w:val="single" w:color="1A3A4A" w:sz="3" w:space="8"/>
        </w:pBdr>
        <w:spacing w:after="160"/>
        <w:ind w:left="720" w:right="720"/>
      </w:pPr>
      <w:r>
        <w:rPr>
          <w:i/>
          <w:iCs/>
          <w:color w:val="4A4A4A"/>
        </w:rPr>
        <w:t xml:space="preserve">huf.org invites engagement at whichever tier serves your mission. The standard exists to be used. Its governance exists to be shared.</w:t>
      </w:r>
    </w:p>
    <w:p>
      <w:pPr>
        <w:spacing w:after="80"/>
      </w:pPr>
    </w:p>
    <w:p>
      <w:pPr>
        <w:spacing w:after="160"/>
      </w:pPr>
      <w:r>
        <w:rPr>
          <w:i/>
          <w:iCs/>
        </w:rPr>
        <w:t xml:space="preserve">Prepared with AI-assisted drafting by the huf.org development collective (Claude, ChatGPT, Grok, Gemini, Copilot), reviewed and approved by Peter Higgins as principal author. All claims are stated conservatively and should be treated as hypotheses pending independent validation. The HUF standard has undergone 27 rounds of multi-AI collective review; human peer review is the designated next phase.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color w:val="888888"/>
        <w:sz w:val="16"/>
        <w:szCs w:val="16"/>
      </w:rPr>
      <w:t xml:space="preserve">huf.org  ·  MIT License  ·  Page </w:t>
    </w:r>
    <w:r>
      <w:rPr>
        <w:rFonts w:ascii="Georgia" w:cs="Georgia" w:eastAsia="Georgia" w:hAnsi="Georgia"/>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4A" w:sz="2" w:space="4"/>
      </w:pBdr>
      <w:spacing w:after="0"/>
      <w:jc w:val="left"/>
    </w:pPr>
    <w:r>
      <w:rPr>
        <w:rFonts w:ascii="Georgia" w:cs="Georgia" w:eastAsia="Georgia" w:hAnsi="Georgia"/>
        <w:b/>
        <w:bCs/>
        <w:color w:val="1A3A4A"/>
        <w:sz w:val="18"/>
        <w:szCs w:val="18"/>
      </w:rPr>
      <w:t xml:space="preserve">huf.org</w:t>
    </w:r>
    <w:r>
      <w:rPr>
        <w:rFonts w:ascii="Georgia" w:cs="Georgia" w:eastAsia="Georgia" w:hAnsi="Georgia"/>
        <w:color w:val="6A8A9A"/>
        <w:sz w:val="16"/>
        <w:szCs w:val="16"/>
      </w:rPr>
      <w:t xml:space="preserve">  —  Higgins Unity Framework  —  Open Governance Standard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3A4A"/>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2A5A6A"/>
      <w:sz w:val="26"/>
      <w:szCs w:val="26"/>
    </w:rPr>
  </w:style>
  <w:style w:type="paragraph" w:styleId="Heading3">
    <w:name w:val="Heading 3"/>
    <w:basedOn w:val="Normal"/>
    <w:next w:val="Normal"/>
    <w:qFormat/>
    <w:pPr>
      <w:spacing w:after="120" w:before="200"/>
      <w:outlineLvl w:val="2"/>
    </w:pPr>
    <w:rPr>
      <w:rFonts w:ascii="Georgia" w:cs="Georgia" w:eastAsia="Georgia" w:hAnsi="Georgia"/>
      <w:b/>
      <w:bCs/>
      <w:color w:val="3A6A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2026-03-17T15:24:26.839Z</dcterms:created>
  <dcterms:modified xsi:type="dcterms:W3CDTF">2026-03-17T15:24:26.839Z</dcterms:modified>
</cp:coreProperties>
</file>

<file path=docProps/custom.xml><?xml version="1.0" encoding="utf-8"?>
<Properties xmlns="http://schemas.openxmlformats.org/officeDocument/2006/custom-properties" xmlns:vt="http://schemas.openxmlformats.org/officeDocument/2006/docPropsVTypes"/>
</file>