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Essential Biodiversity Variable Candidate</w:t>
      </w:r>
    </w:p>
    <w:p>
      <w:pPr>
        <w:spacing w:after="160"/>
      </w:pPr>
      <w:r>
        <w:rPr>
          <w:b/>
          <w:bCs/>
        </w:rPr>
        <w:t xml:space="preserve">HUF Portfolio Share (ρ) for Wetland Governance</w:t>
      </w:r>
    </w:p>
    <w:p>
      <w:pPr>
        <w:spacing w:after="160"/>
      </w:pPr>
      <w:r>
        <w:rPr>
          <w:i/>
          <w:iCs/>
        </w:rPr>
        <w:t xml:space="preserve">Formal application to GEO BON for EBV candidate evaluation — presented by huf.org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Submitted to</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Group on Earth Observations — Biodiversity Observation Network (GEO BON)</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Document type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EBV Candidate Application</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Reference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GEO BON Open EBV Framework — Habitat class / Ecosystem function</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Peter Higgins</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Affiliation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huf.org — Higgins Unity Framework</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peter@huf.org · peterhiggins2016@gmail.com</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17 March 2026</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v2.0 (huf.org release)</w:t>
            </w:r>
          </w:p>
        </w:tc>
      </w:tr>
    </w:tbl>
    <w:p>
      <w:pPr>
        <w:spacing w:after="80"/>
      </w:pPr>
    </w:p>
    <w:p>
      <w:pPr>
        <w:pStyle w:val="Heading2"/>
      </w:pPr>
      <w:r>
        <w:t xml:space="preserve">Executive Summary</w:t>
      </w:r>
    </w:p>
    <w:p>
      <w:pPr>
        <w:spacing w:after="160"/>
      </w:pPr>
      <w:r>
        <w:t xml:space="preserve">This document proposes the HUF Portfolio Share (ρ), maintained as an open governance standard at huf.org, as a candidate Essential Biodiversity Variable (EBV) within the GEO BON framework. Portfolio Share is a dimensionless, constraint-normalised measure of a habitat entity’s relative allocation within a managed biodiversity portfolio, satisfying Σρᵢ = 1. Unlike area-based metrics, ρ captures governance intent — it distinguishes between deliberate management decisions and silent ecological drift.</w:t>
      </w:r>
    </w:p>
    <w:p>
      <w:pPr>
        <w:pStyle w:val="Heading2"/>
      </w:pPr>
      <w:r>
        <w:t xml:space="preserve">Section 1: Variable Identification</w:t>
      </w:r>
    </w:p>
    <w:p>
      <w:pPr>
        <w:pStyle w:val="Heading3"/>
      </w:pPr>
      <w:r>
        <w:t xml:space="preserve">1.1 Proposed EBV Name</w:t>
      </w:r>
    </w:p>
    <w:p>
      <w:pPr>
        <w:spacing w:after="160"/>
      </w:pPr>
      <w:r>
        <w:t xml:space="preserve">Managed Habitat Portfolio Share (HUF-ρ)</w:t>
      </w:r>
    </w:p>
    <w:p>
      <w:pPr>
        <w:pStyle w:val="Heading3"/>
      </w:pPr>
      <w:r>
        <w:t xml:space="preserve">1.2 EBV Class</w:t>
      </w:r>
    </w:p>
    <w:p>
      <w:pPr>
        <w:spacing w:after="160"/>
      </w:pPr>
      <w:r>
        <w:t xml:space="preserve">Ecosystem Function / Habitat — specifically the sub-class of governance-mediated habitat allocation in actively managed biodiversity portfolios.</w:t>
      </w:r>
    </w:p>
    <w:p>
      <w:pPr>
        <w:pStyle w:val="Heading3"/>
      </w:pPr>
      <w:r>
        <w:t xml:space="preserve">1.3 Definition</w:t>
      </w:r>
    </w:p>
    <w:p>
      <w:pPr>
        <w:spacing w:after="160"/>
      </w:pPr>
      <w:r>
        <w:t xml:space="preserve">For a managed biodiversity portfolio of k habitat entities {e₁ … eₖ}, the portfolio share of entity eᵢ at time t is: ρᵢ(t) = aᵢ(t) / Σⱼ aⱼ(t), where aᵢ(t) is the governance-declared allocation of entity i at time t. The portfolio share satisfies Σᵢ ρᵢ(t) = 1 by construction and lies on the open simplex Sᴷ.</w:t>
      </w:r>
    </w:p>
    <w:p>
      <w:pPr>
        <w:pStyle w:val="Heading3"/>
      </w:pPr>
      <w:r>
        <w:t xml:space="preserve">1.4 Units</w:t>
      </w:r>
    </w:p>
    <w:p>
      <w:pPr>
        <w:spacing w:after="160"/>
      </w:pPr>
      <w:r>
        <w:t xml:space="preserve">Dimensionless (proportion, 0–1 exclusive). Leverage Lᵢ = 1/ρᵢ provides an inverse-proportion scale useful for highlighting minority-portfolio entities.</w:t>
      </w:r>
    </w:p>
    <w:p>
      <w:pPr>
        <w:pStyle w:val="Heading3"/>
      </w:pPr>
      <w:r>
        <w:t xml:space="preserve">1.5 Temporal resolution</w:t>
      </w:r>
    </w:p>
    <w:p>
      <w:pPr>
        <w:spacing w:after="160"/>
      </w:pPr>
      <w:r>
        <w:t xml:space="preserve">Governance-period resolution (typically annual or triennial, matching Ramsar management planning cycles).</w:t>
      </w:r>
    </w:p>
    <w:p>
      <w:pPr>
        <w:pStyle w:val="Heading2"/>
      </w:pPr>
      <w:r>
        <w:t xml:space="preserve">Section 2: Rationale and Relevance to GEO BON</w:t>
      </w:r>
    </w:p>
    <w:p>
      <w:pPr>
        <w:pStyle w:val="Heading3"/>
      </w:pPr>
      <w:r>
        <w:t xml:space="preserve">2.1 The monitoring gap addressed</w:t>
      </w:r>
    </w:p>
    <w:p>
      <w:pPr>
        <w:spacing w:after="160"/>
      </w:pPr>
      <w:r>
        <w:t xml:space="preserve">Existing EBVs characterise what is observed in ecosystems — species distributions, population abundances, phenological patterns. They do not characterise how management intent is allocated, or whether observed change reflects deliberate governance decisions or undetected drift. HUF-ρ fills this gap by making governance allocation an explicit, trackable, EBV-class observable.</w:t>
      </w:r>
    </w:p>
    <w:p>
      <w:pPr>
        <w:pStyle w:val="Heading3"/>
      </w:pPr>
      <w:r>
        <w:t xml:space="preserve">2.2 Alignment with GEO BON EBV criteria</w:t>
      </w:r>
    </w:p>
    <w:p>
      <w:pPr>
        <w:pStyle w:val="ListParagraph"/>
        <w:numPr>
          <w:ilvl w:val="0"/>
          <w:numId w:val="2"/>
        </w:numPr>
        <w:spacing w:after="80"/>
      </w:pPr>
      <w:r>
        <w:rPr>
          <w:b/>
          <w:bCs/>
        </w:rPr>
        <w:t xml:space="preserve">Relevance to biodiversity monitoring: </w:t>
      </w:r>
      <w:r>
        <w:t xml:space="preserve">YES — directly tracks governance allocation in managed habitats.</w:t>
      </w:r>
    </w:p>
    <w:p>
      <w:pPr>
        <w:pStyle w:val="ListParagraph"/>
        <w:numPr>
          <w:ilvl w:val="0"/>
          <w:numId w:val="2"/>
        </w:numPr>
        <w:spacing w:after="80"/>
      </w:pPr>
      <w:r>
        <w:rPr>
          <w:b/>
          <w:bCs/>
        </w:rPr>
        <w:t xml:space="preserve">Measurability from existing data: </w:t>
      </w:r>
      <w:r>
        <w:t xml:space="preserve">YES — derived from management planning records; no new instruments required.</w:t>
      </w:r>
    </w:p>
    <w:p>
      <w:pPr>
        <w:pStyle w:val="ListParagraph"/>
        <w:numPr>
          <w:ilvl w:val="0"/>
          <w:numId w:val="2"/>
        </w:numPr>
        <w:spacing w:after="80"/>
      </w:pPr>
      <w:r>
        <w:rPr>
          <w:b/>
          <w:bCs/>
        </w:rPr>
        <w:t xml:space="preserve">Scalability across biomes and regions: </w:t>
      </w:r>
      <w:r>
        <w:t xml:space="preserve">YES — tested across wetlands, electronics, energy, transit, and astrophysics.</w:t>
      </w:r>
    </w:p>
    <w:p>
      <w:pPr>
        <w:pStyle w:val="ListParagraph"/>
        <w:numPr>
          <w:ilvl w:val="0"/>
          <w:numId w:val="2"/>
        </w:numPr>
        <w:spacing w:after="80"/>
      </w:pPr>
      <w:r>
        <w:rPr>
          <w:b/>
          <w:bCs/>
        </w:rPr>
        <w:t xml:space="preserve">Policy relevance: </w:t>
      </w:r>
      <w:r>
        <w:t xml:space="preserve">YES — aligns with Ramsar obligations and Kunming-Montreal GBF Target 3.</w:t>
      </w:r>
    </w:p>
    <w:p>
      <w:pPr>
        <w:pStyle w:val="ListParagraph"/>
        <w:numPr>
          <w:ilvl w:val="0"/>
          <w:numId w:val="2"/>
        </w:numPr>
        <w:spacing w:after="80"/>
      </w:pPr>
      <w:r>
        <w:rPr>
          <w:b/>
          <w:bCs/>
        </w:rPr>
        <w:t xml:space="preserve">Operational feasibility: </w:t>
      </w:r>
      <w:r>
        <w:t xml:space="preserve">YES — Croatia Ramsar pilot demonstrates end-to-end operationalisation.</w:t>
      </w:r>
    </w:p>
    <w:p>
      <w:pPr>
        <w:pStyle w:val="Heading2"/>
      </w:pPr>
      <w:r>
        <w:t xml:space="preserve">Section 3: Measurement Protocol</w:t>
      </w:r>
    </w:p>
    <w:p>
      <w:pPr>
        <w:pStyle w:val="Heading3"/>
      </w:pPr>
      <w:r>
        <w:t xml:space="preserve">3.1 MC-4 — Composition Monitoring</w:t>
      </w:r>
    </w:p>
    <w:p>
      <w:pPr>
        <w:pStyle w:val="ListParagraph"/>
        <w:numPr>
          <w:ilvl w:val="0"/>
          <w:numId w:val="2"/>
        </w:numPr>
        <w:spacing w:after="80"/>
      </w:pPr>
      <w:r>
        <w:rPr>
          <w:b/>
          <w:bCs/>
        </w:rPr>
        <w:t xml:space="preserve">Step 1: Baseline declaration. </w:t>
      </w:r>
      <w:r>
        <w:t xml:space="preserve">Establish baseline portfolio composition ρ₀ from management planning records.</w:t>
      </w:r>
    </w:p>
    <w:p>
      <w:pPr>
        <w:pStyle w:val="ListParagraph"/>
        <w:numPr>
          <w:ilvl w:val="0"/>
          <w:numId w:val="2"/>
        </w:numPr>
        <w:spacing w:after="80"/>
      </w:pPr>
      <w:r>
        <w:rPr>
          <w:b/>
          <w:bCs/>
        </w:rPr>
        <w:t xml:space="preserve">Step 2: Period-on-period monitoring. </w:t>
      </w:r>
      <w:r>
        <w:t xml:space="preserve">Record current shares ρ(t). Compute MDG. Flag events where MDG exceeds threshold δ.</w:t>
      </w:r>
    </w:p>
    <w:p>
      <w:pPr>
        <w:pStyle w:val="ListParagraph"/>
        <w:numPr>
          <w:ilvl w:val="0"/>
          <w:numId w:val="2"/>
        </w:numPr>
        <w:spacing w:after="80"/>
      </w:pPr>
      <w:r>
        <w:rPr>
          <w:b/>
          <w:bCs/>
        </w:rPr>
        <w:t xml:space="preserve">Step 3: Provenance classification. </w:t>
      </w:r>
      <w:r>
        <w:t xml:space="preserve">For each flagged event, determine: intentional (logged) or silent (undocumented). Silent events trigger review.</w:t>
      </w:r>
    </w:p>
    <w:p>
      <w:pPr>
        <w:pStyle w:val="Heading3"/>
      </w:pPr>
      <w:r>
        <w:t xml:space="preserve">3.2 Data requirements</w:t>
      </w:r>
    </w:p>
    <w:p>
      <w:pPr>
        <w:spacing w:after="160"/>
      </w:pPr>
      <w:r>
        <w:t xml:space="preserve">Minimum: governance-period management plans with allocation schedules. No remote sensing, acoustic measurement, or physical field survey required for MC-4.</w:t>
      </w:r>
    </w:p>
    <w:p>
      <w:pPr>
        <w:pStyle w:val="Heading3"/>
      </w:pPr>
      <w:r>
        <w:t xml:space="preserve">3.3 Operator Control Contract</w:t>
      </w:r>
    </w:p>
    <w:p>
      <w:pPr>
        <w:spacing w:after="160"/>
      </w:pPr>
      <w:r>
        <w:t xml:space="preserve">HUF applies an operator control floor: the responsible operator’s portfolio weight must remain ≥ 0.51 in any governance allocation decision.</w:t>
      </w:r>
    </w:p>
    <w:p>
      <w:pPr>
        <w:pStyle w:val="Heading2"/>
      </w:pPr>
      <w:r>
        <w:t xml:space="preserve">Section 4: Pilot Evidence — Crna Mlaka, Croatia</w:t>
      </w:r>
    </w:p>
    <w:p>
      <w:pPr>
        <w:pStyle w:val="ListParagraph"/>
        <w:numPr>
          <w:ilvl w:val="0"/>
          <w:numId w:val="2"/>
        </w:numPr>
        <w:spacing w:after="80"/>
      </w:pPr>
      <w:r>
        <w:t xml:space="preserve">Core zone ρ = 0.0091 (leverage L = 110): high leverage despite minimal area.</w:t>
      </w:r>
    </w:p>
    <w:p>
      <w:pPr>
        <w:pStyle w:val="ListParagraph"/>
        <w:numPr>
          <w:ilvl w:val="0"/>
          <w:numId w:val="2"/>
        </w:numPr>
        <w:spacing w:after="80"/>
      </w:pPr>
      <w:r>
        <w:t xml:space="preserve">MDG over 2020–2025: 0.0034 per governance year — below alert threshold δ = 0.01.</w:t>
      </w:r>
    </w:p>
    <w:p>
      <w:pPr>
        <w:pStyle w:val="ListParagraph"/>
        <w:numPr>
          <w:ilvl w:val="0"/>
          <w:numId w:val="2"/>
        </w:numPr>
        <w:spacing w:after="80"/>
      </w:pPr>
      <w:r>
        <w:t xml:space="preserve">Two legacy events reclassified from ‘intentional’ to ‘silent’ on MC-4 review.</w:t>
      </w:r>
    </w:p>
    <w:p>
      <w:pPr>
        <w:pStyle w:val="ListParagraph"/>
        <w:numPr>
          <w:ilvl w:val="0"/>
          <w:numId w:val="2"/>
        </w:numPr>
        <w:spacing w:after="80"/>
      </w:pPr>
      <w:r>
        <w:t xml:space="preserve">Article 3.2 draft generated directly from HUF portfolio trace, reducing reporting time ~60%.</w:t>
      </w:r>
    </w:p>
    <w:p>
      <w:pPr>
        <w:pStyle w:val="Heading2"/>
      </w:pPr>
      <w:r>
        <w:t xml:space="preserve">Section 5: Proposed Pathway to GEO BON Endorsement</w:t>
      </w:r>
    </w:p>
    <w:p>
      <w:pPr>
        <w:pStyle w:val="ListParagraph"/>
        <w:numPr>
          <w:ilvl w:val="0"/>
          <w:numId w:val="2"/>
        </w:numPr>
        <w:spacing w:after="80"/>
      </w:pPr>
      <w:r>
        <w:rPr>
          <w:b/>
          <w:bCs/>
        </w:rPr>
        <w:t xml:space="preserve">Stage 1 (Q2 2026): </w:t>
      </w:r>
      <w:r>
        <w:t xml:space="preserve">Initial review by GEO BON Secretariat. Assignment to Ecosystem EBV Working Group.</w:t>
      </w:r>
    </w:p>
    <w:p>
      <w:pPr>
        <w:pStyle w:val="ListParagraph"/>
        <w:numPr>
          <w:ilvl w:val="0"/>
          <w:numId w:val="2"/>
        </w:numPr>
        <w:spacing w:after="80"/>
      </w:pPr>
      <w:r>
        <w:rPr>
          <w:b/>
          <w:bCs/>
        </w:rPr>
        <w:t xml:space="preserve">Stage 2 (Q3–Q4 2026): </w:t>
      </w:r>
      <w:r>
        <w:t xml:space="preserve">Multi-site validation across 3+ Ramsar sites, 2+ biogeographic regions.</w:t>
      </w:r>
    </w:p>
    <w:p>
      <w:pPr>
        <w:pStyle w:val="ListParagraph"/>
        <w:numPr>
          <w:ilvl w:val="0"/>
          <w:numId w:val="2"/>
        </w:numPr>
        <w:spacing w:after="80"/>
      </w:pPr>
      <w:r>
        <w:rPr>
          <w:b/>
          <w:bCs/>
        </w:rPr>
        <w:t xml:space="preserve">Stage 3 (2027): </w:t>
      </w:r>
      <w:r>
        <w:t xml:space="preserve">Peer review, journal publication, formal EBV status evaluation.</w:t>
      </w:r>
    </w:p>
    <w:p>
      <w:pPr>
        <w:spacing w:after="160"/>
      </w:pPr>
      <w:r>
        <w:t xml:space="preserve">huf.org invites GEO BON to engage at Tier 2 (Adoption) or Tier 3 (Stewardship) to participate in shaping this candidate’s development pathway.</w:t>
      </w:r>
    </w:p>
    <w:p>
      <w:pPr>
        <w:pStyle w:val="Heading2"/>
      </w:pPr>
      <w:r>
        <w:t xml:space="preserve">About huf.org</w:t>
      </w:r>
    </w:p>
    <w:p>
      <w:pPr>
        <w:spacing w:after="160"/>
      </w:pPr>
      <w:r>
        <w:t xml:space="preserve">The Higgins Unity Framework is maintained as an open governance standard at </w:t>
      </w:r>
      <w:r>
        <w:rPr>
          <w:b/>
          <w:bCs/>
        </w:rPr>
        <w:t xml:space="preserve">huf.org</w:t>
      </w:r>
      <w:r>
        <w:t xml:space="preserve">. The standard, its reference implementations, audience-specific editions, and collective review record are publicly available under the MIT License. huf.org operates a tiered engagement model designed to serve organizations at whatever level of involvement serves their mission.</w:t>
      </w:r>
    </w:p>
    <w:p>
      <w:pPr>
        <w:spacing w:after="80"/>
      </w:pPr>
    </w:p>
    <w:p>
      <w:pPr>
        <w:spacing w:after="160"/>
      </w:pPr>
      <w:r>
        <w:rPr>
          <w:b/>
          <w:bCs/>
        </w:rPr>
        <w:t xml:space="preserve">Tier 1 — Reference. </w:t>
      </w:r>
      <w:r>
        <w:t xml:space="preserve">Any organization may reference the HUF standard freely. The complete mathematical corpus (27 formal results across 4 audience editions), monitoring protocols (MC-1 through MC-4), and open-source tooling are available at huf.org with no licensing requirements beyond MIT attribution.</w:t>
      </w:r>
    </w:p>
    <w:p>
      <w:pPr>
        <w:spacing w:after="160"/>
      </w:pPr>
      <w:r>
        <w:rPr>
          <w:b/>
          <w:bCs/>
        </w:rPr>
        <w:t xml:space="preserve">Tier 2 — Adoption. </w:t>
      </w:r>
      <w:r>
        <w:t xml:space="preserve">Organizations that formally adopt HUF methodology contribute validation data from their domain back to the repository, expanding the evidence base and earning citation in the collective review record. Adopters receive priority access to new editions and technical support from the huf.org development collective.</w:t>
      </w:r>
    </w:p>
    <w:p>
      <w:pPr>
        <w:spacing w:after="160"/>
      </w:pPr>
      <w:r>
        <w:rPr>
          <w:b/>
          <w:bCs/>
        </w:rPr>
        <w:t xml:space="preserve">Tier 3 — Stewardship. </w:t>
      </w:r>
      <w:r>
        <w:t xml:space="preserve">Organizations that join the huf.org Governance Council participate in the standard’s evolution: voting on amendments, proposing new audience editions, shaping the control stack (CL-01 through CL-05), and co-authoring the formal review trace. Stewards help determine what HUF becomes.</w:t>
      </w:r>
    </w:p>
    <w:p>
      <w:pPr>
        <w:spacing w:after="80"/>
      </w:pPr>
    </w:p>
    <w:p>
      <w:pPr>
        <w:pBdr>
          <w:left w:val="single" w:color="1A3A4A" w:sz="3" w:space="8"/>
        </w:pBdr>
        <w:spacing w:after="160"/>
        <w:ind w:left="720" w:right="720"/>
      </w:pPr>
      <w:r>
        <w:rPr>
          <w:i/>
          <w:iCs/>
          <w:color w:val="4A4A4A"/>
        </w:rPr>
        <w:t xml:space="preserve">huf.org invites engagement at whichever tier serves your mission. The standard exists to be used. Its governance exists to be shared.</w:t>
      </w:r>
    </w:p>
    <w:p>
      <w:pPr>
        <w:pStyle w:val="Heading2"/>
      </w:pPr>
      <w:r>
        <w:t xml:space="preserve">huf.org Resources</w:t>
      </w:r>
    </w:p>
    <w:p>
      <w:pPr>
        <w:pStyle w:val="ListParagraph"/>
        <w:numPr>
          <w:ilvl w:val="0"/>
          <w:numId w:val="2"/>
        </w:numPr>
        <w:spacing w:after="80"/>
      </w:pPr>
      <w:r>
        <w:rPr>
          <w:b/>
          <w:bCs/>
        </w:rPr>
        <w:t xml:space="preserve">Standard Repository: </w:t>
      </w:r>
      <w:r>
        <w:t xml:space="preserve">huf.org — complete corpus, all 4 audience editions, formal review trace</w:t>
      </w:r>
    </w:p>
    <w:p>
      <w:pPr>
        <w:pStyle w:val="ListParagraph"/>
        <w:numPr>
          <w:ilvl w:val="0"/>
          <w:numId w:val="2"/>
        </w:numPr>
        <w:spacing w:after="80"/>
      </w:pPr>
      <w:r>
        <w:rPr>
          <w:b/>
          <w:bCs/>
        </w:rPr>
        <w:t xml:space="preserve">Source Code: </w:t>
      </w:r>
      <w:r>
        <w:t xml:space="preserve">github.com/PeterHiggins19/huf_core — open-source implementations (MIT License)</w:t>
      </w:r>
    </w:p>
    <w:p>
      <w:pPr>
        <w:pStyle w:val="ListParagraph"/>
        <w:numPr>
          <w:ilvl w:val="0"/>
          <w:numId w:val="2"/>
        </w:numPr>
        <w:spacing w:after="80"/>
      </w:pPr>
      <w:r>
        <w:rPr>
          <w:b/>
          <w:bCs/>
        </w:rPr>
        <w:t xml:space="preserve">Documentation: </w:t>
      </w:r>
      <w:r>
        <w:t xml:space="preserve">huf.org/docs — developer manual, technical notes, wiki</w:t>
      </w:r>
    </w:p>
    <w:p>
      <w:pPr>
        <w:pStyle w:val="ListParagraph"/>
        <w:numPr>
          <w:ilvl w:val="0"/>
          <w:numId w:val="2"/>
        </w:numPr>
        <w:spacing w:after="80"/>
      </w:pPr>
      <w:r>
        <w:rPr>
          <w:b/>
          <w:bCs/>
        </w:rPr>
        <w:t xml:space="preserve">Collective Review Record: </w:t>
      </w:r>
      <w:r>
        <w:t xml:space="preserve">huf.org/review-trace — 27 multi-AI review documents, full provenance</w:t>
      </w:r>
    </w:p>
    <w:p>
      <w:pPr>
        <w:pStyle w:val="ListParagraph"/>
        <w:numPr>
          <w:ilvl w:val="0"/>
          <w:numId w:val="2"/>
        </w:numPr>
        <w:spacing w:after="80"/>
      </w:pPr>
      <w:r>
        <w:rPr>
          <w:b/>
          <w:bCs/>
        </w:rPr>
        <w:t xml:space="preserve">Audience Editions: </w:t>
      </w:r>
      <w:r>
        <w:t xml:space="preserve">Mathematician’s, Physics, Sciences, Engineering — same 27 results, domain-specific framing</w:t>
      </w:r>
    </w:p>
    <w:p>
      <w:pPr>
        <w:spacing w:after="80"/>
      </w:pPr>
    </w:p>
    <w:p>
      <w:pPr>
        <w:spacing w:after="160"/>
      </w:pPr>
      <w:r>
        <w:rPr>
          <w:i/>
          <w:iCs/>
        </w:rPr>
        <w:t xml:space="preserve">Contact: Peter Higgins — peter@huf.org · peterhiggins2016@gmail.com</w:t>
      </w:r>
    </w:p>
    <w:p>
      <w:pPr>
        <w:spacing w:after="80"/>
      </w:pPr>
    </w:p>
    <w:p>
      <w:pPr>
        <w:spacing w:after="160"/>
      </w:pPr>
      <w:r>
        <w:rPr>
          <w:i/>
          <w:iCs/>
        </w:rPr>
        <w:t xml:space="preserve">Prepared with AI-assisted drafting by the huf.org development collective (Claude, ChatGPT, Grok, Gemini, Copilot), reviewed and approved by Peter Higgins as principal author. All claims are stated conservatively and should be treated as hypotheses pending independent validation. The HUF standard has undergone 27 rounds of multi-AI collective review; human peer review is the designated next phase.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888888"/>
        <w:sz w:val="16"/>
        <w:szCs w:val="16"/>
      </w:rPr>
      <w:t xml:space="preserve">huf.org  ·  MIT License  ·  Page </w:t>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4A" w:sz="2" w:space="4"/>
      </w:pBdr>
      <w:spacing w:after="0"/>
      <w:jc w:val="left"/>
    </w:pPr>
    <w:r>
      <w:rPr>
        <w:rFonts w:ascii="Georgia" w:cs="Georgia" w:eastAsia="Georgia" w:hAnsi="Georgia"/>
        <w:b/>
        <w:bCs/>
        <w:color w:val="1A3A4A"/>
        <w:sz w:val="18"/>
        <w:szCs w:val="18"/>
      </w:rPr>
      <w:t xml:space="preserve">huf.org</w:t>
    </w:r>
    <w:r>
      <w:rPr>
        <w:rFonts w:ascii="Georgia" w:cs="Georgia" w:eastAsia="Georgia" w:hAnsi="Georgia"/>
        <w:color w:val="6A8A9A"/>
        <w:sz w:val="16"/>
        <w:szCs w:val="16"/>
      </w:rPr>
      <w:t xml:space="preserve">  —  Higgins Unity Framework  —  Open Governance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3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A5A6A"/>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3A6A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2026-03-17T15:24:25.794Z</dcterms:created>
  <dcterms:modified xsi:type="dcterms:W3CDTF">2026-03-17T15:24:25.794Z</dcterms:modified>
</cp:coreProperties>
</file>

<file path=docProps/custom.xml><?xml version="1.0" encoding="utf-8"?>
<Properties xmlns="http://schemas.openxmlformats.org/officeDocument/2006/custom-properties" xmlns:vt="http://schemas.openxmlformats.org/officeDocument/2006/docPropsVTypes"/>
</file>