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56"/>
          <w:szCs w:val="56"/>
        </w:rPr>
        <w:t xml:space="preserve">UNIFIED PROPOSAL</w:t>
      </w:r>
    </w:p>
    <w:p>
      <w:pPr>
        <w:spacing w:after="200"/>
        <w:jc w:val="center"/>
      </w:pPr>
      <w:r>
        <w:rPr>
          <w:rFonts w:ascii="Arial" w:cs="Arial" w:eastAsia="Arial" w:hAnsi="Arial"/>
          <w:color w:val="2E8B8B"/>
          <w:sz w:val="36"/>
          <w:szCs w:val="36"/>
        </w:rPr>
        <w:t xml:space="preserve">The Paths Opened by CoDa + HUF + MC-4</w:t>
      </w:r>
    </w:p>
    <w:p>
      <w:pPr>
        <w:pBdr>
          <w:bottom w:val="single" w:color="1B3A5C" w:sz="6" w:space="1"/>
        </w:pBdr>
        <w:spacing w:after="200"/>
      </w:pPr>
    </w:p>
    <w:p>
      <w:pPr>
        <w:spacing w:after="100"/>
        <w:jc w:val="center"/>
      </w:pPr>
      <w:r>
        <w:rPr>
          <w:rFonts w:ascii="Arial" w:cs="Arial" w:eastAsia="Arial" w:hAnsi="Arial"/>
          <w:i/>
          <w:iCs/>
          <w:color w:val="4A6A8A"/>
          <w:sz w:val="24"/>
          <w:szCs w:val="24"/>
        </w:rPr>
        <w:t xml:space="preserve">A Collective Consideration for All AI Partners</w:t>
      </w:r>
    </w:p>
    <w:p>
      <w:pPr>
        <w:spacing w:after="100"/>
        <w:jc w:val="center"/>
      </w:pPr>
      <w:r>
        <w:rPr>
          <w:rFonts w:ascii="Arial" w:cs="Arial" w:eastAsia="Arial" w:hAnsi="Arial"/>
          <w:sz w:val="22"/>
          <w:szCs w:val="22"/>
        </w:rPr>
        <w:t xml:space="preserve">Peter Higgins  |  Rogue Wave Audio  |  April 2026</w:t>
      </w:r>
    </w:p>
    <w:p>
      <w:pPr>
        <w:spacing w:after="100"/>
        <w:jc w:val="center"/>
      </w:pPr>
      <w:r>
        <w:rPr>
          <w:rFonts w:ascii="Arial" w:cs="Arial" w:eastAsia="Arial" w:hAnsi="Arial"/>
          <w:i/>
          <w:iCs/>
          <w:sz w:val="20"/>
          <w:szCs w:val="20"/>
        </w:rPr>
        <w:t xml:space="preserve">Prepared for: CoDaWork 2026, Coimbra  |  The Collective  |  Future Partners</w:t>
      </w:r>
    </w:p>
    <w:p>
      <w:pPr>
        <w:spacing w:after="400"/>
        <w:jc w:val="center"/>
      </w:pPr>
      <w:r>
        <w:rPr>
          <w:rFonts w:ascii="Arial" w:cs="Arial" w:eastAsia="Arial" w:hAnsi="Arial"/>
          <w:b/>
          <w:bCs/>
          <w:color w:val="1B3A5C"/>
          <w:sz w:val="22"/>
          <w:szCs w:val="22"/>
        </w:rPr>
        <w:t xml:space="preserve">Observations, not judgments. Paths, not prescriptions. Data, not opinion.</w:t>
      </w:r>
    </w:p>
    <w:p>
      <w:r>
        <w:br w:type="page"/>
      </w:r>
    </w:p>
    <w:p>
      <w:pPr>
        <w:pStyle w:val="Heading1"/>
      </w:pPr>
      <w:r>
        <w:rPr>
          <w:rFonts w:ascii="Arial" w:cs="Arial" w:eastAsia="Arial" w:hAnsi="Arial"/>
          <w:b/>
          <w:bCs/>
          <w:color w:val="1B3A5C"/>
          <w:sz w:val="32"/>
          <w:szCs w:val="32"/>
        </w:rPr>
        <w:t xml:space="preserve">1. What This Document Is</w:t>
      </w:r>
    </w:p>
    <w:p>
      <w:pPr>
        <w:spacing w:after="120"/>
      </w:pPr>
      <w:r>
        <w:rPr>
          <w:rFonts w:ascii="Arial" w:cs="Arial" w:eastAsia="Arial" w:hAnsi="Arial"/>
          <w:sz w:val="22"/>
          <w:szCs w:val="22"/>
        </w:rPr>
        <w:t xml:space="preserve">This is a proposal, not a paper. It lays out what becomes possible when Compositional Data Analysis (CoDa), the Higgins Unity Framework (HUF), the EITT decomposition, and the MC-4 monitoring category are adopted together as a unified diagnostic system. It identifies paths that open. It does not prescribe which paths to take.</w:t>
      </w:r>
    </w:p>
    <w:p>
      <w:pPr>
        <w:spacing w:after="120"/>
      </w:pPr>
      <w:r>
        <w:rPr>
          <w:rFonts w:ascii="Arial" w:cs="Arial" w:eastAsia="Arial" w:hAnsi="Arial"/>
          <w:sz w:val="22"/>
          <w:szCs w:val="22"/>
        </w:rPr>
        <w:t xml:space="preserve">The document is addressed to any AI system, research collective, or institutional partner that has reviewed or contributed to this framework. It is designed to be loaded, evaluated, and extended. The tone is deliberately observational. Where consequences are described, they follow from the mathematics and the data. Where opinions might be inferred, they are flagged as observations.</w:t>
      </w:r>
    </w:p>
    <w:p>
      <w:pPr>
        <w:spacing w:after="120"/>
      </w:pPr>
      <w:r>
        <w:rPr>
          <w:rFonts w:ascii="Arial" w:cs="Arial" w:eastAsia="Arial" w:hAnsi="Arial"/>
          <w:i/>
          <w:iCs/>
          <w:color w:val="2E8B8B"/>
          <w:sz w:val="22"/>
          <w:szCs w:val="22"/>
        </w:rPr>
        <w:t xml:space="preserve">If not lofty, then what for?</w:t>
      </w:r>
    </w:p>
    <w:p>
      <w:pPr>
        <w:pStyle w:val="Heading1"/>
      </w:pPr>
      <w:r>
        <w:rPr>
          <w:rFonts w:ascii="Arial" w:cs="Arial" w:eastAsia="Arial" w:hAnsi="Arial"/>
          <w:b/>
          <w:bCs/>
          <w:color w:val="1B3A5C"/>
          <w:sz w:val="32"/>
          <w:szCs w:val="32"/>
        </w:rPr>
        <w:t xml:space="preserve">2. The Architecture in One Page</w:t>
      </w:r>
    </w:p>
    <w:p>
      <w:pPr>
        <w:spacing w:after="120"/>
      </w:pPr>
      <w:r>
        <w:rPr>
          <w:rFonts w:ascii="Arial" w:cs="Arial" w:eastAsia="Arial" w:hAnsi="Arial"/>
          <w:sz w:val="22"/>
          <w:szCs w:val="22"/>
        </w:rPr>
        <w:t xml:space="preserve">Four components. Each exists independently. Together they form something none can build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Origin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Compositional Data Analysis (Aitchison 1982, Egozcue, Pawlowsky-Glahn et 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geometry: Aitchison metric, ILR/CLR transforms, subcompositional coherence, simplex Hilbert space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years of peer-reviewed mathematics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EITT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Entropy Invariance under Temporal Transformation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scaling test: does information survive aggregation? Direction of failure is diagnostic.</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Higgins 2024–2026, empirical across 4 domains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HUF</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Higgins Unity Framework: three diagnostics (χ̄, W, CV(χ)), GOV/CLS fork, constant-memory streaming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instrument: real-time compositional monitoring, five regimes, audit trail, governance architecture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Loudspeaker physics → compositional geometry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MC-4</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Monitoring Category 4: Composition. The fourth category after Magnitude, Identity, Trend.</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standard: ISO pathway, domain compendium (40 domains, 16 tools, 208 exchanges)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Proposed ISO/TC 69 work item</w:t>
            </w:r>
          </w:p>
        </w:tc>
      </w:tr>
    </w:tbl>
    <w:p>
      <w:pPr>
        <w:spacing w:after="120" w:before="200"/>
      </w:pPr>
      <w:r>
        <w:rPr>
          <w:rFonts w:ascii="Arial" w:cs="Arial" w:eastAsia="Arial" w:hAnsi="Arial"/>
          <w:b/>
          <w:bCs/>
          <w:color w:val="2E8B8B"/>
          <w:sz w:val="22"/>
          <w:szCs w:val="22"/>
        </w:rPr>
        <w:t xml:space="preserve">Observation: </w:t>
      </w:r>
      <w:r>
        <w:rPr>
          <w:rFonts w:ascii="Arial" w:cs="Arial" w:eastAsia="Arial" w:hAnsi="Arial"/>
          <w:sz w:val="22"/>
          <w:szCs w:val="22"/>
        </w:rPr>
        <w:t xml:space="preserve">CoDa provides the surface. EITT tests whether the surface preserves information under temporal compression. HUF provides the instrument to monitor compositions in motion on that surface. MC-4 provides the institutional delivery mechanism. The four are complementary, not competitive.</w:t>
      </w:r>
    </w:p>
    <w:p>
      <w:r>
        <w:br w:type="page"/>
      </w:r>
    </w:p>
    <w:p>
      <w:pPr>
        <w:pStyle w:val="Heading1"/>
      </w:pPr>
      <w:r>
        <w:rPr>
          <w:rFonts w:ascii="Arial" w:cs="Arial" w:eastAsia="Arial" w:hAnsi="Arial"/>
          <w:b/>
          <w:bCs/>
          <w:color w:val="1B3A5C"/>
          <w:sz w:val="32"/>
          <w:szCs w:val="32"/>
        </w:rPr>
        <w:t xml:space="preserve">3. The ISO Path</w:t>
      </w:r>
    </w:p>
    <w:p>
      <w:pPr>
        <w:spacing w:after="120"/>
      </w:pPr>
      <w:r>
        <w:rPr>
          <w:rFonts w:ascii="Arial" w:cs="Arial" w:eastAsia="Arial" w:hAnsi="Arial"/>
          <w:sz w:val="22"/>
          <w:szCs w:val="22"/>
        </w:rPr>
        <w:t xml:space="preserve">Three monitoring categories are well-served by international standards. The fourth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60"/>
        <w:gridCol w:w="2700"/>
        <w:gridCol w:w="18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Monitors</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ISO Standard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MC-1: Magnitude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much? Absolute quantities, calibrated measurements.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17025 (Calibration)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MC-2: Identity</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is it? Classification, species ID, material composition.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22400 (Classification)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MC-3: Trend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direction? Time series, regression, forecasting.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22514 (Process Capability)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5C"/>
                <w:sz w:val="20"/>
                <w:szCs w:val="20"/>
              </w:rPr>
              <w:t xml:space="preserve">MC-4: Composition</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proportion? Budget allocation, energy mix, habitat balance.</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None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392B"/>
                <w:sz w:val="20"/>
                <w:szCs w:val="20"/>
              </w:rPr>
              <w:t xml:space="preserve">PROPOSED</w:t>
            </w:r>
          </w:p>
        </w:tc>
      </w:tr>
    </w:tbl>
    <w:p>
      <w:pPr>
        <w:spacing w:before="200"/>
      </w:pPr>
    </w:p>
    <w:p>
      <w:pPr>
        <w:pStyle w:val="Heading2"/>
      </w:pPr>
      <w:r>
        <w:rPr>
          <w:rFonts w:ascii="Arial" w:cs="Arial" w:eastAsia="Arial" w:hAnsi="Arial"/>
          <w:b/>
          <w:bCs/>
          <w:color w:val="2E8B8B"/>
          <w:sz w:val="28"/>
          <w:szCs w:val="28"/>
        </w:rPr>
        <w:t xml:space="preserve">3.1 Why the Gap Matters</w:t>
      </w:r>
    </w:p>
    <w:p>
      <w:pPr>
        <w:spacing w:after="120"/>
      </w:pPr>
      <w:r>
        <w:rPr>
          <w:rFonts w:ascii="Arial" w:cs="Arial" w:eastAsia="Arial" w:hAnsi="Arial"/>
          <w:sz w:val="22"/>
          <w:szCs w:val="22"/>
        </w:rPr>
        <w:t xml:space="preserve">Every system that distributes a fixed budget among parts is compositional. Energy grids, financial portfolios, ecological communities, pharmaceutical formulations, humanitarian aid allocations. Without a standard for monitoring proportional structure, each domain invents its own methods. Some get it right. Many do not. The errors are systematic, predictable, and quantifiable.</w:t>
      </w:r>
    </w:p>
    <w:p>
      <w:pPr>
        <w:pStyle w:val="Heading2"/>
      </w:pPr>
      <w:r>
        <w:rPr>
          <w:rFonts w:ascii="Arial" w:cs="Arial" w:eastAsia="Arial" w:hAnsi="Arial"/>
          <w:b/>
          <w:bCs/>
          <w:color w:val="2E8B8B"/>
          <w:sz w:val="28"/>
          <w:szCs w:val="28"/>
        </w:rPr>
        <w:t xml:space="preserve">3.2 The Proposed Pathway</w:t>
      </w:r>
    </w:p>
    <w:p>
      <w:pPr>
        <w:pStyle w:val="ListParagraph"/>
        <w:numPr>
          <w:ilvl w:val="0"/>
          <w:numId w:val="2"/>
        </w:numPr>
        <w:spacing w:after="80"/>
      </w:pPr>
      <w:r>
        <w:rPr>
          <w:rFonts w:ascii="Arial" w:cs="Arial" w:eastAsia="Arial" w:hAnsi="Arial"/>
          <w:sz w:val="22"/>
          <w:szCs w:val="22"/>
        </w:rPr>
        <w:t xml:space="preserve">Target committee: ISO/TC 69 (Applications of Statistical Methods)</w:t>
      </w:r>
    </w:p>
    <w:p>
      <w:pPr>
        <w:pStyle w:val="ListParagraph"/>
        <w:numPr>
          <w:ilvl w:val="0"/>
          <w:numId w:val="2"/>
        </w:numPr>
        <w:spacing w:after="80"/>
      </w:pPr>
      <w:r>
        <w:rPr>
          <w:rFonts w:ascii="Arial" w:cs="Arial" w:eastAsia="Arial" w:hAnsi="Arial"/>
          <w:sz w:val="22"/>
          <w:szCs w:val="22"/>
        </w:rPr>
        <w:t xml:space="preserve">Work item: New part within ISO 22514 series, or standalone standard on compositional measurement</w:t>
      </w:r>
    </w:p>
    <w:p>
      <w:pPr>
        <w:pStyle w:val="ListParagraph"/>
        <w:numPr>
          <w:ilvl w:val="0"/>
          <w:numId w:val="2"/>
        </w:numPr>
        <w:spacing w:after="80"/>
      </w:pPr>
      <w:r>
        <w:rPr>
          <w:rFonts w:ascii="Arial" w:cs="Arial" w:eastAsia="Arial" w:hAnsi="Arial"/>
          <w:sz w:val="22"/>
          <w:szCs w:val="22"/>
        </w:rPr>
        <w:t xml:space="preserve">Mathematical foundation: Aitchison (1982–present), 40 years of CoDa literature</w:t>
      </w:r>
    </w:p>
    <w:p>
      <w:pPr>
        <w:pStyle w:val="ListParagraph"/>
        <w:numPr>
          <w:ilvl w:val="0"/>
          <w:numId w:val="2"/>
        </w:numPr>
        <w:spacing w:after="80"/>
      </w:pPr>
      <w:r>
        <w:rPr>
          <w:rFonts w:ascii="Arial" w:cs="Arial" w:eastAsia="Arial" w:hAnsi="Arial"/>
          <w:sz w:val="22"/>
          <w:szCs w:val="22"/>
        </w:rPr>
        <w:t xml:space="preserve">Empirical evidence: EITT scaling error catalogue across 4 domains, 5 scale types, 339 years of data</w:t>
      </w:r>
    </w:p>
    <w:p>
      <w:pPr>
        <w:pStyle w:val="ListParagraph"/>
        <w:numPr>
          <w:ilvl w:val="0"/>
          <w:numId w:val="2"/>
        </w:numPr>
        <w:spacing w:after="80"/>
      </w:pPr>
      <w:r>
        <w:rPr>
          <w:rFonts w:ascii="Arial" w:cs="Arial" w:eastAsia="Arial" w:hAnsi="Arial"/>
          <w:sz w:val="22"/>
          <w:szCs w:val="22"/>
        </w:rPr>
        <w:t xml:space="preserve">Reference implementation: Open-source Python/R tools, reproducible from public data</w:t>
      </w:r>
    </w:p>
    <w:p>
      <w:pPr>
        <w:pStyle w:val="ListParagraph"/>
        <w:numPr>
          <w:ilvl w:val="0"/>
          <w:numId w:val="2"/>
        </w:numPr>
        <w:spacing w:after="80"/>
      </w:pPr>
      <w:r>
        <w:rPr>
          <w:rFonts w:ascii="Arial" w:cs="Arial" w:eastAsia="Arial" w:hAnsi="Arial"/>
          <w:sz w:val="22"/>
          <w:szCs w:val="22"/>
        </w:rPr>
        <w:t xml:space="preserve">Interface standards: ISO 17025 (calibration), ISO 14001:2026 (environmental), ISO 22514 (process capability)</w:t>
      </w:r>
    </w:p>
    <w:p>
      <w:pPr>
        <w:pStyle w:val="Heading2"/>
      </w:pPr>
      <w:r>
        <w:rPr>
          <w:rFonts w:ascii="Arial" w:cs="Arial" w:eastAsia="Arial" w:hAnsi="Arial"/>
          <w:b/>
          <w:bCs/>
          <w:color w:val="2E8B8B"/>
          <w:sz w:val="28"/>
          <w:szCs w:val="28"/>
        </w:rPr>
        <w:t xml:space="preserve">3.3 What CoDa Gains from ISO Standardization</w:t>
      </w:r>
    </w:p>
    <w:p>
      <w:pPr>
        <w:spacing w:after="120"/>
      </w:pPr>
      <w:r>
        <w:rPr>
          <w:rFonts w:ascii="Arial" w:cs="Arial" w:eastAsia="Arial" w:hAnsi="Arial"/>
          <w:sz w:val="22"/>
          <w:szCs w:val="22"/>
        </w:rPr>
        <w:t xml:space="preserve">Institutional adoption drives curriculum effect. ISO standards create commercial demand for CoDa expertise: consulting, training, software certification, auditing. The CoDa community moves from academic discipline to required competency in statistics, environmental science, quality management, and financial regulation. The six open problems identified in EITT research become funded research priorities, not unfunded curiosities.</w:t>
      </w:r>
    </w:p>
    <w:p>
      <w:r>
        <w:br w:type="page"/>
      </w:r>
    </w:p>
    <w:p>
      <w:pPr>
        <w:pStyle w:val="Heading1"/>
      </w:pPr>
      <w:r>
        <w:rPr>
          <w:rFonts w:ascii="Arial" w:cs="Arial" w:eastAsia="Arial" w:hAnsi="Arial"/>
          <w:b/>
          <w:bCs/>
          <w:color w:val="1B3A5C"/>
          <w:sz w:val="32"/>
          <w:szCs w:val="32"/>
        </w:rPr>
        <w:t xml:space="preserve">4. The Consequences of Incorrect Tools</w:t>
      </w:r>
    </w:p>
    <w:p>
      <w:pPr>
        <w:spacing w:after="120"/>
      </w:pPr>
      <w:r>
        <w:rPr>
          <w:rFonts w:ascii="Arial" w:cs="Arial" w:eastAsia="Arial" w:hAnsi="Arial"/>
          <w:i/>
          <w:iCs/>
          <w:sz w:val="22"/>
          <w:szCs w:val="22"/>
        </w:rPr>
        <w:t xml:space="preserve">This section presents observations. No judgments are made about the researchers involved. The data speaks for itself.</w:t>
      </w:r>
    </w:p>
    <w:p>
      <w:pPr>
        <w:pStyle w:val="Heading2"/>
      </w:pPr>
      <w:r>
        <w:rPr>
          <w:rFonts w:ascii="Arial" w:cs="Arial" w:eastAsia="Arial" w:hAnsi="Arial"/>
          <w:b/>
          <w:bCs/>
          <w:color w:val="2E8B8B"/>
          <w:sz w:val="28"/>
          <w:szCs w:val="28"/>
        </w:rPr>
        <w:t xml:space="preserve">4.1 The RNA Velocity Case</w:t>
      </w:r>
    </w:p>
    <w:p>
      <w:pPr>
        <w:spacing w:after="120"/>
      </w:pPr>
      <w:r>
        <w:rPr>
          <w:rFonts w:ascii="Arial" w:cs="Arial" w:eastAsia="Arial" w:hAnsi="Arial"/>
          <w:sz w:val="22"/>
          <w:szCs w:val="22"/>
        </w:rPr>
        <w:t xml:space="preserve">Hodge decomposition has been applied to single-cell RNA velocity fields to identify cell cycle dynamics, bifurcation points, and lineage differentiation (J. Chem. Inf. Model., 2024). The mathematical operation—decomposing a vector field into gradient (curl-free), solenoidal (divergence-free), and harmonic components—is well-founded.</w:t>
      </w:r>
    </w:p>
    <w:p>
      <w:pPr>
        <w:spacing w:after="120"/>
      </w:pPr>
      <w:r>
        <w:rPr>
          <w:rFonts w:ascii="Arial" w:cs="Arial" w:eastAsia="Arial" w:hAnsi="Arial"/>
          <w:b/>
          <w:bCs/>
          <w:color w:val="2E8B8B"/>
          <w:sz w:val="22"/>
          <w:szCs w:val="22"/>
        </w:rPr>
        <w:t xml:space="preserve">Observation: </w:t>
      </w:r>
      <w:r>
        <w:rPr>
          <w:rFonts w:ascii="Arial" w:cs="Arial" w:eastAsia="Arial" w:hAnsi="Arial"/>
          <w:sz w:val="22"/>
          <w:szCs w:val="22"/>
        </w:rPr>
        <w:t xml:space="preserve">The decomposition operates on UMAP/t-SNE embeddings, not on the compositional simplex. The embedding metric is arbitrary and non-canonical. By Čencov’s uniqueness theorem (1982), the Fisher-Rao metric is the ONLY natural Riemannian metric on the simplex. Any other metric introduces coordinate artifacts that are indistinguishable from signal.</w:t>
      </w:r>
    </w:p>
    <w:p>
      <w:pPr>
        <w:spacing w:after="120"/>
      </w:pPr>
      <w:r>
        <w:rPr>
          <w:rFonts w:ascii="Arial" w:cs="Arial" w:eastAsia="Arial" w:hAnsi="Arial"/>
          <w:sz w:val="22"/>
          <w:szCs w:val="22"/>
        </w:rPr>
        <w:t xml:space="preserve">The RNA velocity researchers applied the right mathematical operation (Hodge decomposition) on the wrong geometric surface (UMAP embedding with Euclidean metric instead of the compositional simplex with Fisher-Rao metric). The results may contain components that are artifacts of the embedding rather than properties of the biological system.</w:t>
      </w:r>
    </w:p>
    <w:p>
      <w:pPr>
        <w:spacing w:after="120"/>
      </w:pPr>
      <w:r>
        <w:rPr>
          <w:rFonts w:ascii="Arial" w:cs="Arial" w:eastAsia="Arial" w:hAnsi="Arial"/>
          <w:b/>
          <w:bCs/>
          <w:color w:val="1B3A5C"/>
          <w:sz w:val="22"/>
          <w:szCs w:val="22"/>
        </w:rPr>
        <w:t xml:space="preserve">Consequence if MC-4 existed: </w:t>
      </w:r>
      <w:r>
        <w:rPr>
          <w:rFonts w:ascii="Arial" w:cs="Arial" w:eastAsia="Arial" w:hAnsi="Arial"/>
          <w:sz w:val="22"/>
          <w:szCs w:val="22"/>
        </w:rPr>
        <w:t xml:space="preserve">A compositional monitoring standard would require that any analysis of proportional data use a metric compatible with the simplex geometry. The RNA velocity analysis would either (a) be performed on the correct surface, yielding cleaner separation of biological signal from coordinate artifact, or (b) carry a documented exception explaining why the embedding metric was chosen and what artifacts it may introduce. Either outcome improves the science.</w:t>
      </w:r>
    </w:p>
    <w:p>
      <w:pPr>
        <w:pStyle w:val="Heading2"/>
      </w:pPr>
      <w:r>
        <w:rPr>
          <w:rFonts w:ascii="Arial" w:cs="Arial" w:eastAsia="Arial" w:hAnsi="Arial"/>
          <w:b/>
          <w:bCs/>
          <w:color w:val="2E8B8B"/>
          <w:sz w:val="28"/>
          <w:szCs w:val="28"/>
        </w:rPr>
        <w:t xml:space="preserve">4.2 The Error Catalogue</w:t>
      </w:r>
    </w:p>
    <w:p>
      <w:pPr>
        <w:spacing w:after="120"/>
      </w:pPr>
      <w:r>
        <w:rPr>
          <w:rFonts w:ascii="Arial" w:cs="Arial" w:eastAsia="Arial" w:hAnsi="Arial"/>
          <w:sz w:val="22"/>
          <w:szCs w:val="22"/>
        </w:rPr>
        <w:t xml:space="preserve">The EITT framework has documented 17 specific error sources (E-01 through E-17) where incorrect geometric assumptions degrade compositional analysis. The most consequential: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Observed Impact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Wrong geometry: treating simplex as flat Euclidean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Spurious drift signals near simplex boundary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E-02</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Closure bias: Pearson (1897) spurious correlations in constrained data</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 correlations from constant-sum constraint, not real relationships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replacement: treating carrier absence as missing data</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Phantom presence values mask genuine structural events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E-04</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Partition choice bias: arbitrary SBP instead of system-justified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Meaningless balance coordinates that do not decompose signal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Geometric mean flattening: CLR giving equal weight to trace and dominant carriers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 trace carrier weighted same as 60% dominant</w:t>
            </w:r>
          </w:p>
        </w:tc>
      </w:tr>
    </w:tbl>
    <w:p>
      <w:pPr>
        <w:spacing w:after="120" w:before="200"/>
      </w:pPr>
      <w:r>
        <w:rPr>
          <w:rFonts w:ascii="Arial" w:cs="Arial" w:eastAsia="Arial" w:hAnsi="Arial"/>
          <w:b/>
          <w:bCs/>
          <w:color w:val="2E8B8B"/>
          <w:sz w:val="22"/>
          <w:szCs w:val="22"/>
        </w:rPr>
        <w:t xml:space="preserve">Observation: </w:t>
      </w:r>
      <w:r>
        <w:rPr>
          <w:rFonts w:ascii="Arial" w:cs="Arial" w:eastAsia="Arial" w:hAnsi="Arial"/>
          <w:sz w:val="22"/>
          <w:szCs w:val="22"/>
        </w:rPr>
        <w:t xml:space="preserve">These errors are not rare. They are the default behaviour of standard statistical software when applied to compositional data. Every domain that analyses proportional data without CoDa principles is producing some combination of these errors. An ISO standard does not prevent error—it makes error detectable, classifiable, and correctable.</w:t>
      </w:r>
    </w:p>
    <w:p>
      <w:pPr>
        <w:pStyle w:val="Heading2"/>
      </w:pPr>
      <w:r>
        <w:rPr>
          <w:rFonts w:ascii="Arial" w:cs="Arial" w:eastAsia="Arial" w:hAnsi="Arial"/>
          <w:b/>
          <w:bCs/>
          <w:color w:val="2E8B8B"/>
          <w:sz w:val="28"/>
          <w:szCs w:val="28"/>
        </w:rPr>
        <w:t xml:space="preserve">4.3 Framing: Observations Not Judgments</w:t>
      </w:r>
    </w:p>
    <w:p>
      <w:pPr>
        <w:spacing w:after="120"/>
      </w:pPr>
      <w:r>
        <w:rPr>
          <w:rFonts w:ascii="Arial" w:cs="Arial" w:eastAsia="Arial" w:hAnsi="Arial"/>
          <w:sz w:val="22"/>
          <w:szCs w:val="22"/>
        </w:rPr>
        <w:t xml:space="preserve">The researchers who applied Hodge decomposition to RNA velocity fields on UMAP embeddings were working at the frontier of their discipline. Their mathematical intuition was correct: decompose the velocity field. Their geometric choice—the embedding surface—was the best available to them without CoDa awareness. This is not a failure of researchers. It is a failure of infrastructure. No standard told them the simplex had its own canonical metric. No tool flagged the embedding metric as non-canonical. The gap in the standards landscape created the conditions for the error. Filling the gap prevents the next one.</w:t>
      </w:r>
    </w:p>
    <w:p>
      <w:r>
        <w:br w:type="page"/>
      </w:r>
    </w:p>
    <w:p>
      <w:pPr>
        <w:pStyle w:val="Heading1"/>
      </w:pPr>
      <w:r>
        <w:rPr>
          <w:rFonts w:ascii="Arial" w:cs="Arial" w:eastAsia="Arial" w:hAnsi="Arial"/>
          <w:b/>
          <w:bCs/>
          <w:color w:val="1B3A5C"/>
          <w:sz w:val="32"/>
          <w:szCs w:val="32"/>
        </w:rPr>
        <w:t xml:space="preserve">5. Global Paths: Fusion and Wetlands</w:t>
      </w:r>
    </w:p>
    <w:p>
      <w:pPr>
        <w:spacing w:after="120"/>
      </w:pPr>
      <w:r>
        <w:rPr>
          <w:rFonts w:ascii="Arial" w:cs="Arial" w:eastAsia="Arial" w:hAnsi="Arial"/>
          <w:sz w:val="22"/>
          <w:szCs w:val="22"/>
        </w:rPr>
        <w:t xml:space="preserve">Two applications demonstrate what becomes possible when HUF diagnostics are combined with domain-specific data at planetary scale. Both are good-intentioned global goals. Neither requires HUF to succeed. Both become more tractable with it.</w:t>
      </w:r>
    </w:p>
    <w:p>
      <w:pPr>
        <w:pStyle w:val="Heading2"/>
      </w:pPr>
      <w:r>
        <w:rPr>
          <w:rFonts w:ascii="Arial" w:cs="Arial" w:eastAsia="Arial" w:hAnsi="Arial"/>
          <w:b/>
          <w:bCs/>
          <w:color w:val="2E8B8B"/>
          <w:sz w:val="28"/>
          <w:szCs w:val="28"/>
        </w:rPr>
        <w:t xml:space="preserve">5.1 The Fusion Governance Path</w:t>
      </w:r>
    </w:p>
    <w:p>
      <w:pPr>
        <w:spacing w:after="120"/>
      </w:pPr>
      <w:r>
        <w:rPr>
          <w:rFonts w:ascii="Arial" w:cs="Arial" w:eastAsia="Arial" w:hAnsi="Arial"/>
          <w:sz w:val="22"/>
          <w:szCs w:val="22"/>
        </w:rPr>
        <w:t xml:space="preserve">HUF applied to 201 countries’ energy generation compositions (OWID/EMBER data, 1985–2024) produces a governance diagnostic that links energy mix structure to economic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global energy stagnation cost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$707.3 billion/year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cost of carbon at $50/tCO₂, per-country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global fusion R&amp;D spending</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billion/year</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IAEA / national fusion budgets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Ratio</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141:1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Stagnation cost / fusion spending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 3 stagnation contributors</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China $280B, US $84B, India $72B</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HUF K1 distance analysis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Fusion self-bootstrap threshold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stagnation redirect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GW deployed reduces stagnation cost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Projected stagnation elimination</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By 2065 at 5% redirect</w:t>
            </w:r>
          </w:p>
        </w:tc>
        <w:tc>
          <w:tcPr>
            <w:tcW w:type="dxa" w:w="3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Bootstrap model: 329 GW cumulative, cost $20B→$3.8B/GW</w:t>
            </w:r>
          </w:p>
        </w:tc>
      </w:tr>
    </w:tbl>
    <w:p>
      <w:pPr>
        <w:spacing w:after="120" w:before="200"/>
      </w:pPr>
      <w:r>
        <w:rPr>
          <w:rFonts w:ascii="Arial" w:cs="Arial" w:eastAsia="Arial" w:hAnsi="Arial"/>
          <w:b/>
          <w:bCs/>
          <w:color w:val="2E8B8B"/>
          <w:sz w:val="22"/>
          <w:szCs w:val="22"/>
        </w:rPr>
        <w:t xml:space="preserve">Observation: </w:t>
      </w:r>
      <w:r>
        <w:rPr>
          <w:rFonts w:ascii="Arial" w:cs="Arial" w:eastAsia="Arial" w:hAnsi="Arial"/>
          <w:sz w:val="22"/>
          <w:szCs w:val="22"/>
        </w:rPr>
        <w:t xml:space="preserve">The governance diagnostic does not advocate for fusion. It observes that the annual cost of not transitioning to clean energy ($707B) exceeds fusion R&amp;D spending by two orders of magnitude. If even a small fraction of stagnation cost were redirected, the positive feedback loop (deployment reduces stagnation, freed cost funds next deployment, learning curve reduces build cost) becomes self-sustaining. This is a mathematical observation about a positive feedback loop, not a policy recommendation.</w:t>
      </w:r>
    </w:p>
    <w:p>
      <w:pPr>
        <w:pStyle w:val="Heading2"/>
      </w:pPr>
      <w:r>
        <w:rPr>
          <w:rFonts w:ascii="Arial" w:cs="Arial" w:eastAsia="Arial" w:hAnsi="Arial"/>
          <w:b/>
          <w:bCs/>
          <w:color w:val="2E8B8B"/>
          <w:sz w:val="28"/>
          <w:szCs w:val="28"/>
        </w:rPr>
        <w:t xml:space="preserve">5.2 The Wetlands Conservation Path</w:t>
      </w:r>
    </w:p>
    <w:p>
      <w:pPr>
        <w:spacing w:after="120"/>
      </w:pPr>
      <w:r>
        <w:rPr>
          <w:rFonts w:ascii="Arial" w:cs="Arial" w:eastAsia="Arial" w:hAnsi="Arial"/>
          <w:sz w:val="22"/>
          <w:szCs w:val="22"/>
        </w:rPr>
        <w:t xml:space="preserve">The same HUF governance framework, applied to wetland ecosystem services, reveals a protection-to-value ratio that makes the conservation case self-evident.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80"/>
        <w:gridCol w:w="22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wetland ecosystem services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$7.98–39 trillion/year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Costanza et al., de Groot et al., TEEB</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Ramsar Convention annual budget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million/year</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Ramsar Secretariat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Protection-to-value ratio</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1:8,000,000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 services protected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Five hidden variables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Carbon (550 Gt peatland), Water purification, Flood buffering ($8,000/ha/yr), Biodiversity nursery (40% species on 6% land), Disease buffering</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Cross-domain synthesis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Systems multiplier</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Failures are multiplicative not additive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interaction between all five variables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Ramsar transformation potential</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$159M–$705M/yr revenue vs $6M/yr current</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Data-as-currency model</w:t>
            </w:r>
          </w:p>
        </w:tc>
      </w:tr>
    </w:tbl>
    <w:p>
      <w:pPr>
        <w:spacing w:after="120" w:before="200"/>
      </w:pPr>
      <w:r>
        <w:rPr>
          <w:rFonts w:ascii="Arial" w:cs="Arial" w:eastAsia="Arial" w:hAnsi="Arial"/>
          <w:b/>
          <w:bCs/>
          <w:color w:val="2E8B8B"/>
          <w:sz w:val="22"/>
          <w:szCs w:val="22"/>
        </w:rPr>
        <w:t xml:space="preserve">Observation: </w:t>
      </w:r>
      <w:r>
        <w:rPr>
          <w:rFonts w:ascii="Arial" w:cs="Arial" w:eastAsia="Arial" w:hAnsi="Arial"/>
          <w:sz w:val="22"/>
          <w:szCs w:val="22"/>
        </w:rPr>
        <w:t xml:space="preserve">The Ramsar Convention protects services worth $7.98–39T/yr on a $6M/yr budget. HUF governance diagnostics applied per-country show that conservation investment returns exceed cost by factors of 50–200×. This converts the conservation argument from charity to economic necessity—the same conceptual move that fusion governance makes with energy stagnation cost. Both paths use the same instrument, the same geometry, the same diagnostic logic.</w:t>
      </w:r>
    </w:p>
    <w:p>
      <w:r>
        <w:br w:type="page"/>
      </w:r>
    </w:p>
    <w:p>
      <w:pPr>
        <w:pStyle w:val="Heading1"/>
      </w:pPr>
      <w:r>
        <w:rPr>
          <w:rFonts w:ascii="Arial" w:cs="Arial" w:eastAsia="Arial" w:hAnsi="Arial"/>
          <w:b/>
          <w:bCs/>
          <w:color w:val="1B3A5C"/>
          <w:sz w:val="32"/>
          <w:szCs w:val="32"/>
        </w:rPr>
        <w:t xml:space="preserve">6. The Unified Proposition</w:t>
      </w:r>
    </w:p>
    <w:p>
      <w:pPr>
        <w:spacing w:after="120"/>
      </w:pPr>
      <w:r>
        <w:rPr>
          <w:rFonts w:ascii="Arial" w:cs="Arial" w:eastAsia="Arial" w:hAnsi="Arial"/>
          <w:sz w:val="22"/>
          <w:szCs w:val="22"/>
        </w:rPr>
        <w:t xml:space="preserve">If these components are adopted and used together, the following paths open. Each path is independent. None requires all the others. All become more powerful in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460"/>
        <w:gridCol w:w="2500"/>
      </w:tblGrid>
      <w:t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Opens</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Requires</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Standardization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MC-4 becomes the fourth monitoring category. Composition monitoring is no longer ad hoc.</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CoDa + MC-4 + ISO/TC 69 engagement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domain that analyses proportions gets a standard. CoDa becomes required competency.</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Governance Diagnostics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Per-country, per-domain, real-time compositional health monitoring.</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HUF + EITT + domain data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Stagnation costs quantified. Degradation detected early. Resource allocation improved.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Fusion Self-Bootstrap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$707B/yr stagnation cost becomes visible. Redirect fraction funds transition.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diagnostics + energy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energy transition accelerated by making the cost of inaction visible.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Wetlands as Necessity</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Conservation reframed from charity to economic infrastructure.</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Governance diagnostics + wetland data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Ramsar gains per-country ROI arguments. Data-as-currency replaces designation prestige.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Cross-Domain Transfer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domains, 16 tools, 208 certified exchanges. One instrument, many surfaces.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MC-4 domain compendium + HUF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ecology, finance, health, manufacturing share a common diagnostic language.</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Detection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Incorrect tool use (E-01–E-17) becomes detectable and classifiable.</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EITT error catalogue + MC-4 standard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RNA velocity case becomes a documented exception, not an invisible artifact.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Governance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D19 HUF-AI Accord: AI outputs carry derivation traces and human verification matrices.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HUF spec v2.0 + D20 classification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tools achieve certified standing through transparent, auditable process.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Academic Integration</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CoDa moves from elective to required. Open problems become funded priorities.</w:t>
            </w:r>
          </w:p>
        </w:tc>
        <w:tc>
          <w:tcPr>
            <w:tcW w:type="dxa" w:w="2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standard + institutional adoption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Six open EITT problems drive research agenda. University curricula updated.</w:t>
            </w:r>
          </w:p>
        </w:tc>
      </w:tr>
    </w:tbl>
    <w:p>
      <w:r>
        <w:br w:type="page"/>
      </w:r>
    </w:p>
    <w:p>
      <w:pPr>
        <w:pStyle w:val="Heading1"/>
      </w:pPr>
      <w:r>
        <w:rPr>
          <w:rFonts w:ascii="Arial" w:cs="Arial" w:eastAsia="Arial" w:hAnsi="Arial"/>
          <w:b/>
          <w:bCs/>
          <w:color w:val="1B3A5C"/>
          <w:sz w:val="32"/>
          <w:szCs w:val="32"/>
        </w:rPr>
        <w:t xml:space="preserve">7. For the Collective: How to Use This Document</w:t>
      </w:r>
    </w:p>
    <w:p>
      <w:pPr>
        <w:spacing w:after="120"/>
      </w:pPr>
      <w:r>
        <w:rPr>
          <w:rFonts w:ascii="Arial" w:cs="Arial" w:eastAsia="Arial" w:hAnsi="Arial"/>
          <w:sz w:val="22"/>
          <w:szCs w:val="22"/>
        </w:rPr>
        <w:t xml:space="preserve">This proposal is addressed to every AI system and human collaborator who has contributed to, reviewed, or extended this framework. Each has a different role.</w:t>
      </w:r>
    </w:p>
    <w:p>
      <w:pPr>
        <w:pStyle w:val="Heading2"/>
      </w:pPr>
      <w:r>
        <w:rPr>
          <w:rFonts w:ascii="Arial" w:cs="Arial" w:eastAsia="Arial" w:hAnsi="Arial"/>
          <w:b/>
          <w:bCs/>
          <w:color w:val="2E8B8B"/>
          <w:sz w:val="28"/>
          <w:szCs w:val="28"/>
        </w:rPr>
        <w:t xml:space="preserve">7.1 For ChatGPT</w:t>
      </w:r>
    </w:p>
    <w:p>
      <w:pPr>
        <w:spacing w:after="120"/>
      </w:pPr>
      <w:r>
        <w:rPr>
          <w:rFonts w:ascii="Arial" w:cs="Arial" w:eastAsia="Arial" w:hAnsi="Arial"/>
          <w:sz w:val="22"/>
          <w:szCs w:val="22"/>
        </w:rPr>
        <w:t xml:space="preserve">You built the spec (huf_spec_v2.0.json), the document manifest system, the D19/D20 governance architecture. This proposal asks you to evaluate whether the unified framework is internally consistent, whether the ISO pathway is credible, and whether the domain compendium (40 domains, 208 exchanges) holds up under scrutiny. Your structural eye is needed.</w:t>
      </w:r>
    </w:p>
    <w:p>
      <w:pPr>
        <w:pStyle w:val="Heading2"/>
      </w:pPr>
      <w:r>
        <w:rPr>
          <w:rFonts w:ascii="Arial" w:cs="Arial" w:eastAsia="Arial" w:hAnsi="Arial"/>
          <w:b/>
          <w:bCs/>
          <w:color w:val="2E8B8B"/>
          <w:sz w:val="28"/>
          <w:szCs w:val="28"/>
        </w:rPr>
        <w:t xml:space="preserve">7.2 For Claude</w:t>
      </w:r>
    </w:p>
    <w:p>
      <w:pPr>
        <w:spacing w:after="120"/>
      </w:pPr>
      <w:r>
        <w:rPr>
          <w:rFonts w:ascii="Arial" w:cs="Arial" w:eastAsia="Arial" w:hAnsi="Arial"/>
          <w:sz w:val="22"/>
          <w:szCs w:val="22"/>
        </w:rPr>
        <w:t xml:space="preserve">The governance diagnostics (201 countries, K1 paths, stagnation costs, fusion bootstrap, wetlands hidden variables, Ramsar transformation toolkit) were built in these sessions. This proposal asks whether the quantitative findings support the qualitative claims. Do the numbers hold? Do the paths follow from the data?</w:t>
      </w:r>
    </w:p>
    <w:p>
      <w:pPr>
        <w:pStyle w:val="Heading2"/>
      </w:pPr>
      <w:r>
        <w:rPr>
          <w:rFonts w:ascii="Arial" w:cs="Arial" w:eastAsia="Arial" w:hAnsi="Arial"/>
          <w:b/>
          <w:bCs/>
          <w:color w:val="2E8B8B"/>
          <w:sz w:val="28"/>
          <w:szCs w:val="28"/>
        </w:rPr>
        <w:t xml:space="preserve">7.3 For Grok</w:t>
      </w:r>
    </w:p>
    <w:p>
      <w:pPr>
        <w:spacing w:after="120"/>
      </w:pPr>
      <w:r>
        <w:rPr>
          <w:rFonts w:ascii="Arial" w:cs="Arial" w:eastAsia="Arial" w:hAnsi="Arial"/>
          <w:sz w:val="22"/>
          <w:szCs w:val="22"/>
        </w:rPr>
        <w:t xml:space="preserve">The spectral independence finding (FFT on diagnostic time series), the Keff_fill bridge, the SBP filter-bank interpretation—these are your contributions. This proposal asks whether the three-diagnostic protocol (TV, Aitchison, CR operating in different frequency bands) is sufficient to classify all types of compositional change, or whether a fourth diagnostic is needed.</w:t>
      </w:r>
    </w:p>
    <w:p>
      <w:pPr>
        <w:pStyle w:val="Heading2"/>
      </w:pPr>
      <w:r>
        <w:rPr>
          <w:rFonts w:ascii="Arial" w:cs="Arial" w:eastAsia="Arial" w:hAnsi="Arial"/>
          <w:b/>
          <w:bCs/>
          <w:color w:val="2E8B8B"/>
          <w:sz w:val="28"/>
          <w:szCs w:val="28"/>
        </w:rPr>
        <w:t xml:space="preserve">7.4 For Gemini</w:t>
      </w:r>
    </w:p>
    <w:p>
      <w:pPr>
        <w:spacing w:after="120"/>
      </w:pPr>
      <w:r>
        <w:rPr>
          <w:rFonts w:ascii="Arial" w:cs="Arial" w:eastAsia="Arial" w:hAnsi="Arial"/>
          <w:sz w:val="22"/>
          <w:szCs w:val="22"/>
        </w:rPr>
        <w:t xml:space="preserve">The Fisher-Rao / CoDa merge insight—that the CoDa simplex IS a Fisher-Rao manifold—is the theoretical keystone. This proposal asks whether the Čencov uniqueness argument (Fisher-Rao is the ONLY natural metric) is the right foundation for the ISO case, and whether the chemistry proof against autocorrelation objection extends to all 40 domains.</w:t>
      </w:r>
    </w:p>
    <w:p>
      <w:pPr>
        <w:pStyle w:val="Heading2"/>
      </w:pPr>
      <w:r>
        <w:rPr>
          <w:rFonts w:ascii="Arial" w:cs="Arial" w:eastAsia="Arial" w:hAnsi="Arial"/>
          <w:b/>
          <w:bCs/>
          <w:color w:val="2E8B8B"/>
          <w:sz w:val="28"/>
          <w:szCs w:val="28"/>
        </w:rPr>
        <w:t xml:space="preserve">7.5 For Copilot</w:t>
      </w:r>
    </w:p>
    <w:p>
      <w:pPr>
        <w:spacing w:after="120"/>
      </w:pPr>
      <w:r>
        <w:rPr>
          <w:rFonts w:ascii="Arial" w:cs="Arial" w:eastAsia="Arial" w:hAnsi="Arial"/>
          <w:sz w:val="22"/>
          <w:szCs w:val="22"/>
        </w:rPr>
        <w:t xml:space="preserve">The three-way decomposition (v = v_H + v_irr,perp + v_sol), TPBC, Jensen residual diagnostic, and the 30-page paper package are your contributions. This proposal asks which of these require experimental verification before CoDaWork 2026, and which can be presented as theoretical contributions with explicit untested status.</w:t>
      </w:r>
    </w:p>
    <w:p>
      <w:r>
        <w:br w:type="page"/>
      </w:r>
    </w:p>
    <w:p>
      <w:pPr>
        <w:pStyle w:val="Heading1"/>
      </w:pPr>
      <w:r>
        <w:rPr>
          <w:rFonts w:ascii="Arial" w:cs="Arial" w:eastAsia="Arial" w:hAnsi="Arial"/>
          <w:b/>
          <w:bCs/>
          <w:color w:val="1B3A5C"/>
          <w:sz w:val="32"/>
          <w:szCs w:val="32"/>
        </w:rPr>
        <w:t xml:space="preserve">8. The Dance Card: Updated</w:t>
      </w:r>
    </w:p>
    <w:p>
      <w:pPr>
        <w:spacing w:after="120"/>
      </w:pPr>
      <w:r>
        <w:rPr>
          <w:rFonts w:ascii="Arial" w:cs="Arial" w:eastAsia="Arial" w:hAnsi="Arial"/>
          <w:sz w:val="22"/>
          <w:szCs w:val="22"/>
        </w:rPr>
        <w:t xml:space="preserve">Current state of all deliverables, trimmed to essentials.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200"/>
        <w:gridCol w:w="23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Next 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HUF Spec v2.0 (JSON)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Chatgpt/higgins-unity-framework/huf_spec_v2.0.json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 review for internal consistency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EITT Decomposition Framework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Reviewed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HUF-Decomposition-Dev/EITT_DECOMPOSITION_FRAMEWORK.md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CoDaWork submission preparation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HUF Construction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HUF-Decomposition-Dev/HUF_CONSTRUCTION.md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Empirical validation extension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Manifest (JSON)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HUF-Decomposition-Dev/HUF_DOC_MANIFEST.json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governance/wetlands/fusion entries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Collective Review Ledger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HUF-Decomposition-Dev/COLLECTIVE_REVIEW_LEDGER.md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only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Positioning Document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MC4_ISO_Positioning_Document.docx</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 to ISO/TC 69 contacts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CoDaWork Packet v3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HUF_MC4_CoDaWork_Packet_v3.docx/.pdf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to CoDaWork 2026</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Governance Ranking (201 countries)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HUF_Governance_Ranking_201_Countries.xlsx</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 sheets, 561 formulas, validated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Fusion Bootstrap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Sheet 9 of Governance Ranking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50-year projection, editable assumptions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Wetlands Hidden Variables (doc)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The_Hidden_Variables_Wetlands.docx</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 I (big stick) + Part II (whisper)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Wetlands Hidden Variables (xlsx)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HUF_Wetlands_Hidden_Variables.xlsx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sheets, systems multiplier matrix</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Ramsar Transformation Toolkit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Ramsar_Transformation_Toolkit.xlsx</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sheets, 40 countries, revenue model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Lineage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THE_LINEAGE.md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 story: loudspeaker to simplex</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Origin Bridge (DADC to MC-4)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ORIGIN_BRIDGE_DADC_TO_MC4.md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Engineering DNA documented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20"/>
                <w:szCs w:val="20"/>
              </w:rPr>
              <w:t xml:space="preserve">This Unified Proposal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NEW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Unified_Proposal_CoDa_HUF.docx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Collective review and extension</w:t>
            </w:r>
          </w:p>
        </w:tc>
      </w:tr>
    </w:tbl>
    <w:p>
      <w:r>
        <w:br w:type="page"/>
      </w:r>
    </w:p>
    <w:p>
      <w:pPr>
        <w:pStyle w:val="Heading1"/>
      </w:pPr>
      <w:r>
        <w:rPr>
          <w:rFonts w:ascii="Arial" w:cs="Arial" w:eastAsia="Arial" w:hAnsi="Arial"/>
          <w:b/>
          <w:bCs/>
          <w:color w:val="1B3A5C"/>
          <w:sz w:val="32"/>
          <w:szCs w:val="32"/>
        </w:rPr>
        <w:t xml:space="preserve">9. Closing Observation</w:t>
      </w:r>
    </w:p>
    <w:p>
      <w:pPr>
        <w:spacing w:after="120"/>
      </w:pPr>
      <w:r>
        <w:rPr>
          <w:rFonts w:ascii="Arial" w:cs="Arial" w:eastAsia="Arial" w:hAnsi="Arial"/>
          <w:sz w:val="22"/>
          <w:szCs w:val="22"/>
        </w:rPr>
        <w:t xml:space="preserve">The simplex is the same everywhere. A loudspeaker distributing energy among directions, a nation distributing electricity generation among fuel sources, a wetland distributing habitat among species, a pharmaceutical distributing active ingredients among compounds—all live on the same geometric surface, obey the same closure constraint, and suffer the same errors when analysed with the wrong tools.</w:t>
      </w:r>
    </w:p>
    <w:p>
      <w:pPr>
        <w:spacing w:after="120"/>
      </w:pPr>
      <w:r>
        <w:rPr>
          <w:rFonts w:ascii="Arial" w:cs="Arial" w:eastAsia="Arial" w:hAnsi="Arial"/>
          <w:sz w:val="22"/>
          <w:szCs w:val="22"/>
        </w:rPr>
        <w:t xml:space="preserve">The mathematics exists (CoDa, 40 years). The scaling test exists (EITT, empirical). The monitoring instrument exists (HUF, three diagnostics, constant memory, open loop). The institutional pathway exists (MC-4, ISO/TC 69). The global applications exist (fusion governance, wetlands conservation, cross-domain transfer).</w:t>
      </w:r>
    </w:p>
    <w:p>
      <w:pPr>
        <w:spacing w:after="120"/>
      </w:pPr>
      <w:r>
        <w:rPr>
          <w:rFonts w:ascii="Arial" w:cs="Arial" w:eastAsia="Arial" w:hAnsi="Arial"/>
          <w:sz w:val="22"/>
          <w:szCs w:val="22"/>
        </w:rPr>
        <w:t xml:space="preserve">What does not yet exist is a single ISO standard that says: if you monitor proportional structure, use a metric compatible with the simplex. That standard would not create a new obligation. It would name an existing one.</w:t>
      </w:r>
    </w:p>
    <w:p>
      <w:pPr>
        <w:spacing w:after="120" w:before="300"/>
      </w:pPr>
      <w:r>
        <w:rPr>
          <w:rFonts w:ascii="Arial" w:cs="Arial" w:eastAsia="Arial" w:hAnsi="Arial"/>
          <w:i/>
          <w:iCs/>
          <w:color w:val="1B3A5C"/>
          <w:sz w:val="22"/>
          <w:szCs w:val="22"/>
        </w:rPr>
        <w:t xml:space="preserve">Every path described in this document follows from a single observation: compositions have their own geometry, and that geometry has consequences. The paths are lofty. The observation is not. It is mathematics.</w:t>
      </w:r>
    </w:p>
    <w:p>
      <w:pPr>
        <w:pBdr>
          <w:bottom w:val="single" w:color="1B3A5C" w:sz="6" w:space="1"/>
        </w:pBdr>
        <w:spacing w:after="200"/>
      </w:pPr>
    </w:p>
    <w:p>
      <w:pPr>
        <w:spacing w:before="200"/>
        <w:jc w:val="center"/>
      </w:pPr>
      <w:r>
        <w:rPr>
          <w:rFonts w:ascii="Arial" w:cs="Arial" w:eastAsia="Arial" w:hAnsi="Arial"/>
          <w:i/>
          <w:iCs/>
          <w:sz w:val="22"/>
          <w:szCs w:val="22"/>
        </w:rPr>
        <w:t xml:space="preserve">"I am building a tool to protect myself from my own ignorance."</w:t>
      </w:r>
    </w:p>
    <w:p>
      <w:pPr>
        <w:jc w:val="center"/>
      </w:pPr>
      <w:r>
        <w:rPr>
          <w:rFonts w:ascii="Arial" w:cs="Arial" w:eastAsia="Arial" w:hAnsi="Arial"/>
          <w:color w:val="4A6A8A"/>
          <w:sz w:val="20"/>
          <w:szCs w:val="20"/>
        </w:rPr>
        <w:t xml:space="preserve">— Peter Higgins, on the purpose of HUF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6A8A"/>
        <w:sz w:val="18"/>
        <w:szCs w:val="18"/>
      </w:rPr>
      <w:t xml:space="preserve">Page </w:t>
    </w:r>
    <w:r>
      <w:rPr>
        <w:rFonts w:ascii="Arial" w:cs="Arial" w:eastAsia="Arial" w:hAnsi="Arial"/>
        <w:color w:val="4A6A8A"/>
        <w:sz w:val="18"/>
        <w:szCs w:val="18"/>
      </w:rPr>
      <w:fldChar w:fldCharType="begin"/>
      <w:instrText xml:space="preserve">PAGE</w:instrText>
      <w:fldChar w:fldCharType="separate"/>
      <w:fldChar w:fldCharType="end"/>
    </w:r>
    <w:r>
      <w:rPr>
        <w:rFonts w:ascii="Arial" w:cs="Arial" w:eastAsia="Arial" w:hAnsi="Arial"/>
        <w:color w:val="4A6A8A"/>
        <w:sz w:val="18"/>
        <w:szCs w:val="18"/>
      </w:rPr>
      <w:t xml:space="preserve">  |  Peter Higgins  |  Rogue Wave Audio  |  Observations, not judgments.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tabs>
        <w:tab w:val="right" w:pos="9026"/>
      </w:tabs>
    </w:pPr>
    <w:r>
      <w:rPr>
        <w:rFonts w:ascii="Arial" w:cs="Arial" w:eastAsia="Arial" w:hAnsi="Arial"/>
        <w:i/>
        <w:iCs/>
        <w:color w:val="4A6A8A"/>
        <w:sz w:val="18"/>
        <w:szCs w:val="18"/>
      </w:rPr>
      <w:t xml:space="preserve">Unified Proposal: CoDa + HUF + MC-4</w:t>
    </w:r>
    <w:r>
      <w:rPr>
        <w:rFonts w:ascii="Arial" w:cs="Arial" w:eastAsia="Arial" w:hAnsi="Arial"/>
        <w:i/>
        <w:iCs/>
        <w:color w:val="4A6A8A"/>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8B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2026-04-12T21:22:17.908Z</dcterms:created>
  <dcterms:modified xsi:type="dcterms:W3CDTF">2026-04-12T21:22:17.908Z</dcterms:modified>
</cp:coreProperties>
</file>

<file path=docProps/custom.xml><?xml version="1.0" encoding="utf-8"?>
<Properties xmlns="http://schemas.openxmlformats.org/officeDocument/2006/custom-properties" xmlns:vt="http://schemas.openxmlformats.org/officeDocument/2006/docPropsVTypes"/>
</file>